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2B" w:rsidRDefault="00BF3F2B" w:rsidP="00BF3F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37F9134" wp14:editId="7FF27A43">
            <wp:extent cx="380093" cy="266065"/>
            <wp:effectExtent l="0" t="0" r="1270" b="635"/>
            <wp:docPr id="178" name="Imagen 17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2B" w:rsidRPr="004F76AA" w:rsidRDefault="00BF3F2B" w:rsidP="00BF3F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76AA">
        <w:rPr>
          <w:rFonts w:ascii="Arial" w:hAnsi="Arial" w:cs="Arial"/>
          <w:b/>
          <w:sz w:val="20"/>
          <w:szCs w:val="20"/>
          <w:lang w:val="pt-BR"/>
        </w:rPr>
        <w:t xml:space="preserve">6.4. </w:t>
      </w:r>
      <w:bookmarkStart w:id="0" w:name="_GoBack"/>
      <w:r w:rsidRPr="004F76AA">
        <w:rPr>
          <w:rFonts w:ascii="Arial" w:hAnsi="Arial" w:cs="Arial"/>
          <w:b/>
          <w:sz w:val="20"/>
          <w:szCs w:val="20"/>
          <w:lang w:val="pt-BR"/>
        </w:rPr>
        <w:t>RESOLUÇÃO CFM Nº 1.955/10 (BRASIL)</w:t>
      </w:r>
      <w:bookmarkEnd w:id="0"/>
      <w:r w:rsidRPr="00AF120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1º Autorizar a cirurgia de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transgenitalização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do tipo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neocolpovulvoplastia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e/ou procedimentos complementares sobre gônadas e caracteres sexuais secundários como tratamento dos casos de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transexualismo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>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2º Autorizar, ainda a título experimental, a realização de cirurgia do tipo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neofaloplastia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>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3º Que a definição de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transexualismo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obedecerá, no mínimo, aos critérios abaixo enumerados: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1) Desconforto com o sexo anatômico natural;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2) Desejo expresso de eliminar os genitais, perder as características primárias e secundárias do próprio sexo e ganhar as do sexo oposto;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3) Permanência desses distúrbios de forma contínua e consistente por, no mínimo, dois anos;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4) Ausência de outros transtornos mentais.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Art. 4º Que a seleção dos pacientes para cirurgia de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transgenitalismo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obedecerá a avaliação de equipe multidisciplinar constituída por médico psiquiatra, cirurgião, endocrinologista, psicólogo e assistente social, obedecendo os critérios a seguir definidos, após, no mínimo, dois anos de acompanhamento conjunto: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 xml:space="preserve">1) Diagnóstico médico de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transgenitalismo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>;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2) Maior de 21 (vinte e um) anos;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3) Ausência de características físicas inapropriadas para a cirurgia.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Art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5º O tratamento do </w:t>
      </w:r>
      <w:proofErr w:type="spellStart"/>
      <w:r w:rsidRPr="00AF120C">
        <w:rPr>
          <w:rFonts w:ascii="Arial" w:hAnsi="Arial" w:cs="Arial"/>
          <w:sz w:val="20"/>
          <w:szCs w:val="20"/>
          <w:lang w:val="pt-BR"/>
        </w:rPr>
        <w:t>transgenitalismo</w:t>
      </w:r>
      <w:proofErr w:type="spellEnd"/>
      <w:r w:rsidRPr="00AF120C">
        <w:rPr>
          <w:rFonts w:ascii="Arial" w:hAnsi="Arial" w:cs="Arial"/>
          <w:sz w:val="20"/>
          <w:szCs w:val="20"/>
          <w:lang w:val="pt-BR"/>
        </w:rPr>
        <w:t xml:space="preserve"> deve ser realizado apenas em estabelecimentos que contemplem integralmente os pré-requisitos estabelecidos nesta resolução, bem como a equipe multidisciplinar estabelecida no artigo 4º.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1º O corpo clínico destes hospitais, devidamente registrado no Conselho Regional de Medicina, deve ter em sua constituição os profissionais previstos na equipe citada no artigo 4º, aos quais caberá o diagnóstico e a indicação terapêutica.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2º As equipes devem ser previstas no regimento interno dos hospitais, inclusive contando com chefe, obedecendo aos critérios regimentais para a ocupação do cargo.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3º Em qualquer ocasião, a falta de um dos membros da equipe ensejará a paralisação de permissão para a execução dos tratamentos.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4º Os hospitais deverão ter comissão ética constituída e funcionando dentro do previsto na legislação pertinente.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Art. 6º Deve ser praticado o consentimento livre e esclarecido.</w:t>
      </w:r>
    </w:p>
    <w:p w:rsidR="00BF3F2B" w:rsidRPr="00AF120C" w:rsidRDefault="00BF3F2B" w:rsidP="00BF3F2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Art. 7º Esta resolução entra em vigor na data de sua publicação, revogando-se a Resolução CFM nº 1.652/02.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72" w:rsidRDefault="008B7072" w:rsidP="00BF3F2B">
      <w:pPr>
        <w:spacing w:after="0" w:line="240" w:lineRule="auto"/>
      </w:pPr>
      <w:r>
        <w:separator/>
      </w:r>
    </w:p>
  </w:endnote>
  <w:endnote w:type="continuationSeparator" w:id="0">
    <w:p w:rsidR="008B7072" w:rsidRDefault="008B7072" w:rsidP="00B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72" w:rsidRDefault="008B7072" w:rsidP="00BF3F2B">
      <w:pPr>
        <w:spacing w:after="0" w:line="240" w:lineRule="auto"/>
      </w:pPr>
      <w:r>
        <w:separator/>
      </w:r>
    </w:p>
  </w:footnote>
  <w:footnote w:type="continuationSeparator" w:id="0">
    <w:p w:rsidR="008B7072" w:rsidRDefault="008B7072" w:rsidP="00BF3F2B">
      <w:pPr>
        <w:spacing w:after="0" w:line="240" w:lineRule="auto"/>
      </w:pPr>
      <w:r>
        <w:continuationSeparator/>
      </w:r>
    </w:p>
  </w:footnote>
  <w:footnote w:id="1">
    <w:p w:rsidR="00BF3F2B" w:rsidRDefault="00BF3F2B" w:rsidP="00BF3F2B">
      <w:pPr>
        <w:pStyle w:val="Textonotapie"/>
      </w:pPr>
      <w:r>
        <w:rPr>
          <w:rStyle w:val="Refdenotaalpie"/>
        </w:rPr>
        <w:footnoteRef/>
      </w:r>
      <w:r>
        <w:t xml:space="preserve"> Anexo BRA/DSA/02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D3328">
          <w:rPr>
            <w:rStyle w:val="Hipervnculo"/>
          </w:rPr>
          <w:t>http://www.abglt.org.br/docs/resolucao_CFM_1955.pdf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2B"/>
    <w:rsid w:val="00454480"/>
    <w:rsid w:val="008B7072"/>
    <w:rsid w:val="00B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590049-5E93-4350-B6A0-70A382DA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2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F3F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3F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3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resolucao_CFM_195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2016-11-01T22:58:00Z</dcterms:created>
  <dcterms:modified xsi:type="dcterms:W3CDTF">2016-11-01T22:59:00Z</dcterms:modified>
</cp:coreProperties>
</file>