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93" w:rsidRDefault="00111F93" w:rsidP="00111F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A303682" wp14:editId="56A7FAC8">
            <wp:extent cx="413457" cy="274948"/>
            <wp:effectExtent l="0" t="0" r="5715" b="0"/>
            <wp:docPr id="227" name="Imagen 227" descr="Bandera de Puerto 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Puerto R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99" cy="30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93" w:rsidRPr="004D2F9B" w:rsidRDefault="00111F93" w:rsidP="00111F9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  <w:r w:rsidRPr="004D2F9B">
        <w:rPr>
          <w:rFonts w:ascii="Arial" w:hAnsi="Arial" w:cs="Arial"/>
          <w:b/>
          <w:bCs/>
          <w:sz w:val="20"/>
          <w:szCs w:val="20"/>
        </w:rPr>
        <w:t xml:space="preserve">10.5. </w:t>
      </w:r>
      <w:bookmarkStart w:id="0" w:name="_GoBack"/>
      <w:r w:rsidRPr="004D2F9B">
        <w:rPr>
          <w:rFonts w:ascii="Arial" w:eastAsia="Times New Roman" w:hAnsi="Arial" w:cs="Arial"/>
          <w:b/>
          <w:bCs/>
          <w:sz w:val="20"/>
          <w:szCs w:val="20"/>
          <w:lang w:eastAsia="es-BO"/>
        </w:rPr>
        <w:t>LEY NÚM. 22 DE 29 DE MAYO DE 2013 (PUERTO RICO</w:t>
      </w:r>
      <w:bookmarkEnd w:id="0"/>
      <w:r w:rsidRPr="004D2F9B">
        <w:rPr>
          <w:rFonts w:ascii="Arial" w:eastAsia="Times New Roman" w:hAnsi="Arial" w:cs="Arial"/>
          <w:b/>
          <w:bCs/>
          <w:sz w:val="20"/>
          <w:szCs w:val="20"/>
          <w:lang w:eastAsia="es-BO"/>
        </w:rPr>
        <w:t>)</w:t>
      </w:r>
      <w:r>
        <w:rPr>
          <w:rStyle w:val="Refdenotaalpie"/>
          <w:rFonts w:ascii="Arial" w:hAnsi="Arial" w:cs="Arial"/>
          <w:b/>
          <w:bCs/>
          <w:sz w:val="20"/>
          <w:szCs w:val="20"/>
          <w:lang w:eastAsia="es-BO"/>
        </w:rPr>
        <w:footnoteReference w:id="1"/>
      </w:r>
    </w:p>
    <w:p w:rsidR="00111F93" w:rsidRPr="00823678" w:rsidRDefault="00111F93" w:rsidP="00111F9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>Artículo 1.- Declaración de Política Pública</w:t>
      </w:r>
    </w:p>
    <w:p w:rsidR="00111F93" w:rsidRPr="00823678" w:rsidRDefault="00111F93" w:rsidP="00111F9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>Se establece como Política Pública del Estado Libre Asociado de Puerto Rico, el repudio al discrimen por orientación sexual o identidad de género en el empleo, público o privado. De esta forma, reafirmamos que la dignidad del ser humano es inviolable, y que todas las personas son iguales ante la ley.</w:t>
      </w:r>
    </w:p>
    <w:p w:rsidR="00111F93" w:rsidRPr="00823678" w:rsidRDefault="00111F93" w:rsidP="00111F9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>Se establece la prohibición particular de que ningún patrono podrá suspender, rehusarse a emplear, despedir o de cualquier otro modo o forma perjudicar en su empleo a una persona por razón de cualquiera de las características protegidas antes mencionadas.</w:t>
      </w:r>
    </w:p>
    <w:p w:rsidR="00111F93" w:rsidRPr="00823678" w:rsidRDefault="00111F93" w:rsidP="00111F9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>Artículo 2.- Definiciones.</w:t>
      </w:r>
    </w:p>
    <w:p w:rsidR="00111F93" w:rsidRPr="00823678" w:rsidRDefault="00111F93" w:rsidP="00111F9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>Para fines de interpretación y aplicación de esta Ley en el ámbito laboral, los siguientes términos tendrán el significado que se expresa a continuación:</w:t>
      </w:r>
    </w:p>
    <w:p w:rsidR="00111F93" w:rsidRPr="00823678" w:rsidRDefault="00111F93" w:rsidP="00111F9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>(a) Orientación sexual – Significa la capacidad de cada persona de sentir una atracción emocional, afectiva o sexual por personas de un género diferente al suyo, o de su mismo género, o de más de un género. A los fines de alcanzar los propósitos dispuestos en este estatuto, esta definición será interpretada tan ampliamente como sea necesario para extender sus beneficios a todo ciudadano expuesto a un episodio o patrón de discrimen.</w:t>
      </w:r>
    </w:p>
    <w:p w:rsidR="00111F93" w:rsidRPr="00823678" w:rsidRDefault="00111F93" w:rsidP="00111F9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 xml:space="preserve">(b) Identidad de género – Se refiere a la manera en la que se identifica la persona, como se reconoce a sí misma, en cuanto al género que puede corresponder o no a su sexo biológico o asignado en su nacimiento. A los fines de alcanzar los propósitos dispuestos en este estatuto, esta definición será interpretada tan ampliamente como sea necesario para extender sus beneficios a todo ciudadano expuesto a un episodio o patrón de discrimen y de conformidad con lo dispuesto en la Ley Federal Matthew </w:t>
      </w:r>
      <w:proofErr w:type="spellStart"/>
      <w:r w:rsidRPr="00823678">
        <w:rPr>
          <w:rFonts w:ascii="Arial" w:hAnsi="Arial" w:cs="Arial"/>
          <w:bCs/>
          <w:sz w:val="20"/>
          <w:szCs w:val="20"/>
          <w:lang w:val="es-BO"/>
        </w:rPr>
        <w:t>Shepard</w:t>
      </w:r>
      <w:proofErr w:type="spellEnd"/>
      <w:r w:rsidRPr="00823678">
        <w:rPr>
          <w:rFonts w:ascii="Arial" w:hAnsi="Arial" w:cs="Arial"/>
          <w:bCs/>
          <w:sz w:val="20"/>
          <w:szCs w:val="20"/>
          <w:lang w:val="es-BO"/>
        </w:rPr>
        <w:t xml:space="preserve"> and James </w:t>
      </w:r>
      <w:proofErr w:type="spellStart"/>
      <w:r w:rsidRPr="00823678">
        <w:rPr>
          <w:rFonts w:ascii="Arial" w:hAnsi="Arial" w:cs="Arial"/>
          <w:bCs/>
          <w:sz w:val="20"/>
          <w:szCs w:val="20"/>
          <w:lang w:val="es-BO"/>
        </w:rPr>
        <w:t>Byrd</w:t>
      </w:r>
      <w:proofErr w:type="spellEnd"/>
      <w:r w:rsidRPr="00823678">
        <w:rPr>
          <w:rFonts w:ascii="Arial" w:hAnsi="Arial" w:cs="Arial"/>
          <w:bCs/>
          <w:sz w:val="20"/>
          <w:szCs w:val="20"/>
          <w:lang w:val="es-BO"/>
        </w:rPr>
        <w:t xml:space="preserve">, Jr. </w:t>
      </w:r>
      <w:proofErr w:type="spellStart"/>
      <w:r w:rsidRPr="00823678">
        <w:rPr>
          <w:rFonts w:ascii="Arial" w:hAnsi="Arial" w:cs="Arial"/>
          <w:bCs/>
          <w:sz w:val="20"/>
          <w:szCs w:val="20"/>
          <w:lang w:val="es-BO"/>
        </w:rPr>
        <w:t>Hate</w:t>
      </w:r>
      <w:proofErr w:type="spellEnd"/>
      <w:r w:rsidRPr="00823678">
        <w:rPr>
          <w:rFonts w:ascii="Arial" w:hAnsi="Arial" w:cs="Arial"/>
          <w:bCs/>
          <w:sz w:val="20"/>
          <w:szCs w:val="20"/>
          <w:lang w:val="es-BO"/>
        </w:rPr>
        <w:t xml:space="preserve"> </w:t>
      </w:r>
      <w:proofErr w:type="spellStart"/>
      <w:r w:rsidRPr="00823678">
        <w:rPr>
          <w:rFonts w:ascii="Arial" w:hAnsi="Arial" w:cs="Arial"/>
          <w:bCs/>
          <w:sz w:val="20"/>
          <w:szCs w:val="20"/>
          <w:lang w:val="es-BO"/>
        </w:rPr>
        <w:t>Crimes</w:t>
      </w:r>
      <w:proofErr w:type="spellEnd"/>
      <w:r w:rsidRPr="00823678">
        <w:rPr>
          <w:rFonts w:ascii="Arial" w:hAnsi="Arial" w:cs="Arial"/>
          <w:bCs/>
          <w:sz w:val="20"/>
          <w:szCs w:val="20"/>
          <w:lang w:val="es-BO"/>
        </w:rPr>
        <w:t xml:space="preserve"> </w:t>
      </w:r>
      <w:proofErr w:type="spellStart"/>
      <w:r w:rsidRPr="00823678">
        <w:rPr>
          <w:rFonts w:ascii="Arial" w:hAnsi="Arial" w:cs="Arial"/>
          <w:bCs/>
          <w:sz w:val="20"/>
          <w:szCs w:val="20"/>
          <w:lang w:val="es-BO"/>
        </w:rPr>
        <w:t>Prevention</w:t>
      </w:r>
      <w:proofErr w:type="spellEnd"/>
      <w:r w:rsidRPr="00823678">
        <w:rPr>
          <w:rFonts w:ascii="Arial" w:hAnsi="Arial" w:cs="Arial"/>
          <w:bCs/>
          <w:sz w:val="20"/>
          <w:szCs w:val="20"/>
          <w:lang w:val="es-BO"/>
        </w:rPr>
        <w:t xml:space="preserve"> </w:t>
      </w:r>
      <w:proofErr w:type="spellStart"/>
      <w:r w:rsidRPr="00823678">
        <w:rPr>
          <w:rFonts w:ascii="Arial" w:hAnsi="Arial" w:cs="Arial"/>
          <w:bCs/>
          <w:sz w:val="20"/>
          <w:szCs w:val="20"/>
          <w:lang w:val="es-BO"/>
        </w:rPr>
        <w:t>Act</w:t>
      </w:r>
      <w:proofErr w:type="spellEnd"/>
      <w:r w:rsidRPr="00823678">
        <w:rPr>
          <w:rFonts w:ascii="Arial" w:hAnsi="Arial" w:cs="Arial"/>
          <w:bCs/>
          <w:sz w:val="20"/>
          <w:szCs w:val="20"/>
          <w:lang w:val="es-BO"/>
        </w:rPr>
        <w:t xml:space="preserve">, </w:t>
      </w:r>
      <w:proofErr w:type="spellStart"/>
      <w:r w:rsidRPr="00823678">
        <w:rPr>
          <w:rFonts w:ascii="Arial" w:hAnsi="Arial" w:cs="Arial"/>
          <w:bCs/>
          <w:sz w:val="20"/>
          <w:szCs w:val="20"/>
          <w:lang w:val="es-BO"/>
        </w:rPr>
        <w:t>Public</w:t>
      </w:r>
      <w:proofErr w:type="spellEnd"/>
      <w:r w:rsidRPr="00823678">
        <w:rPr>
          <w:rFonts w:ascii="Arial" w:hAnsi="Arial" w:cs="Arial"/>
          <w:bCs/>
          <w:sz w:val="20"/>
          <w:szCs w:val="20"/>
          <w:lang w:val="es-BO"/>
        </w:rPr>
        <w:t xml:space="preserve"> </w:t>
      </w:r>
      <w:proofErr w:type="spellStart"/>
      <w:r w:rsidRPr="00823678">
        <w:rPr>
          <w:rFonts w:ascii="Arial" w:hAnsi="Arial" w:cs="Arial"/>
          <w:bCs/>
          <w:sz w:val="20"/>
          <w:szCs w:val="20"/>
          <w:lang w:val="es-BO"/>
        </w:rPr>
        <w:t>Law</w:t>
      </w:r>
      <w:proofErr w:type="spellEnd"/>
      <w:r w:rsidRPr="00823678">
        <w:rPr>
          <w:rFonts w:ascii="Arial" w:hAnsi="Arial" w:cs="Arial"/>
          <w:bCs/>
          <w:sz w:val="20"/>
          <w:szCs w:val="20"/>
          <w:lang w:val="es-BO"/>
        </w:rPr>
        <w:t xml:space="preserve"> No. 111-84 (2009).</w:t>
      </w:r>
    </w:p>
    <w:p w:rsidR="00111F93" w:rsidRPr="00823678" w:rsidRDefault="00111F93" w:rsidP="00111F9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>Artículo 3.- Se enmienda el inciso (</w:t>
      </w:r>
      <w:proofErr w:type="spellStart"/>
      <w:r w:rsidRPr="00823678">
        <w:rPr>
          <w:rFonts w:ascii="Arial" w:hAnsi="Arial" w:cs="Arial"/>
          <w:bCs/>
          <w:sz w:val="20"/>
          <w:szCs w:val="20"/>
          <w:lang w:val="es-BO"/>
        </w:rPr>
        <w:t>aa</w:t>
      </w:r>
      <w:proofErr w:type="spellEnd"/>
      <w:r w:rsidRPr="00823678">
        <w:rPr>
          <w:rFonts w:ascii="Arial" w:hAnsi="Arial" w:cs="Arial"/>
          <w:bCs/>
          <w:sz w:val="20"/>
          <w:szCs w:val="20"/>
          <w:lang w:val="es-BO"/>
        </w:rPr>
        <w:t>) del Artículo 3 de la Ley Núm. 45-1998, según enmendada, conocida como “Ley de Relaciones del Trabajo para el Servicio Público de Puerto Rico”, para que lea como sigue:</w:t>
      </w:r>
    </w:p>
    <w:p w:rsidR="00111F93" w:rsidRPr="00823678" w:rsidRDefault="00111F93" w:rsidP="00111F9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 xml:space="preserve"> “Artículo 3.- Definiciones</w:t>
      </w:r>
    </w:p>
    <w:p w:rsidR="00111F93" w:rsidRPr="00823678" w:rsidRDefault="00111F93" w:rsidP="00111F9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 xml:space="preserve"> Para fines de interpretación y aplicación de esta Ley, los siguientes términos tendrán el significado que a continuación se expresa, a menos que del contexto surja claramente otro significado (</w:t>
      </w:r>
      <w:proofErr w:type="spellStart"/>
      <w:r w:rsidRPr="00823678">
        <w:rPr>
          <w:rFonts w:ascii="Arial" w:hAnsi="Arial" w:cs="Arial"/>
          <w:bCs/>
          <w:sz w:val="20"/>
          <w:szCs w:val="20"/>
          <w:lang w:val="es-BO"/>
        </w:rPr>
        <w:t>aa</w:t>
      </w:r>
      <w:proofErr w:type="spellEnd"/>
      <w:r w:rsidRPr="00823678">
        <w:rPr>
          <w:rFonts w:ascii="Arial" w:hAnsi="Arial" w:cs="Arial"/>
          <w:bCs/>
          <w:sz w:val="20"/>
          <w:szCs w:val="20"/>
          <w:lang w:val="es-BO"/>
        </w:rPr>
        <w:t>) Principio de mérito. Compromiso de gestión pública que asegura transacciones de personal donde todos los empleados de carrera deben ser seleccionados, adiestrados, ascendidos y retenidos en su empleo en consideración al mérito y a la capacidad, sin discrimen por razón de raza, color, sexo, nacimiento, edad, orientación sexual, identidad de género, origen o condición social, incapacidad física, incapacidad mental, condición de veterano, ni por sus ideas o afiliación política o religiosa. La antigüedad será un factor en casos de igual capacidad e idoneidad.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A0" w:rsidRDefault="004473A0" w:rsidP="00111F93">
      <w:pPr>
        <w:spacing w:after="0" w:line="240" w:lineRule="auto"/>
      </w:pPr>
      <w:r>
        <w:separator/>
      </w:r>
    </w:p>
  </w:endnote>
  <w:endnote w:type="continuationSeparator" w:id="0">
    <w:p w:rsidR="004473A0" w:rsidRDefault="004473A0" w:rsidP="0011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A0" w:rsidRDefault="004473A0" w:rsidP="00111F93">
      <w:pPr>
        <w:spacing w:after="0" w:line="240" w:lineRule="auto"/>
      </w:pPr>
      <w:r>
        <w:separator/>
      </w:r>
    </w:p>
  </w:footnote>
  <w:footnote w:type="continuationSeparator" w:id="0">
    <w:p w:rsidR="004473A0" w:rsidRDefault="004473A0" w:rsidP="00111F93">
      <w:pPr>
        <w:spacing w:after="0" w:line="240" w:lineRule="auto"/>
      </w:pPr>
      <w:r>
        <w:continuationSeparator/>
      </w:r>
    </w:p>
  </w:footnote>
  <w:footnote w:id="1">
    <w:p w:rsidR="00111F93" w:rsidRDefault="00111F93" w:rsidP="00111F93">
      <w:pPr>
        <w:pStyle w:val="Textonotapie"/>
      </w:pPr>
      <w:r>
        <w:rPr>
          <w:rStyle w:val="Refdenotaalpie"/>
        </w:rPr>
        <w:footnoteRef/>
      </w:r>
      <w:r>
        <w:t xml:space="preserve"> Anexo PURI/TRASS/01 Para ver la </w:t>
      </w:r>
      <w:r w:rsidRPr="00711B4F">
        <w:t xml:space="preserve">norma in extenso, </w:t>
      </w:r>
      <w:r>
        <w:t xml:space="preserve">también puede utilizar el siguiente link  </w:t>
      </w:r>
    </w:p>
    <w:p w:rsidR="00111F93" w:rsidRDefault="00111F93" w:rsidP="00111F93">
      <w:pPr>
        <w:pStyle w:val="Textonotapie"/>
      </w:pPr>
      <w:hyperlink r:id="rId1" w:history="1">
        <w:r w:rsidRPr="00E9023E">
          <w:rPr>
            <w:rStyle w:val="Hipervnculo"/>
          </w:rPr>
          <w:t>http://www.lexjuris.com/lexlex/Leyes2013/lexl2013022.htm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93"/>
    <w:rsid w:val="00111F93"/>
    <w:rsid w:val="004473A0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E47041-0BA7-407A-BD9D-75089838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1F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111F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111F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11F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1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juris.com/lexlex/Leyes2013/lexl201302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2016-11-02T00:01:00Z</dcterms:created>
  <dcterms:modified xsi:type="dcterms:W3CDTF">2016-11-02T00:01:00Z</dcterms:modified>
</cp:coreProperties>
</file>