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6AD" w:rsidRPr="00016B7D" w:rsidRDefault="00C856AD" w:rsidP="00C856A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noProof/>
          <w:lang w:eastAsia="es-BO"/>
        </w:rPr>
        <w:drawing>
          <wp:inline distT="0" distB="0" distL="0" distR="0" wp14:anchorId="4F3957C7" wp14:editId="65E958D0">
            <wp:extent cx="380093" cy="266065"/>
            <wp:effectExtent l="0" t="0" r="1270" b="635"/>
            <wp:docPr id="108" name="Imagen 108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6AD" w:rsidRPr="00016B7D" w:rsidRDefault="00C856AD" w:rsidP="00C856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016B7D">
        <w:rPr>
          <w:rFonts w:ascii="Arial" w:hAnsi="Arial" w:cs="Arial"/>
          <w:b/>
          <w:sz w:val="20"/>
          <w:szCs w:val="20"/>
          <w:lang w:val="pt-BR"/>
        </w:rPr>
        <w:t>3.2.41.</w:t>
      </w:r>
      <w:r w:rsidRPr="00016B7D">
        <w:rPr>
          <w:rFonts w:ascii="Arial" w:hAnsi="Arial" w:cs="Arial"/>
          <w:sz w:val="20"/>
          <w:szCs w:val="20"/>
          <w:lang w:val="pt-BR"/>
        </w:rPr>
        <w:t xml:space="preserve"> </w:t>
      </w:r>
      <w:bookmarkStart w:id="0" w:name="_GoBack"/>
      <w:r w:rsidRPr="00016B7D">
        <w:rPr>
          <w:rFonts w:ascii="Arial" w:hAnsi="Arial" w:cs="Arial"/>
          <w:b/>
          <w:sz w:val="20"/>
          <w:szCs w:val="20"/>
          <w:lang w:val="pt-BR"/>
        </w:rPr>
        <w:t>LEI Nº 8.812, DE 13 DE JUNHO DE 2002, LONDRINA (BRASIL</w:t>
      </w:r>
      <w:bookmarkEnd w:id="0"/>
      <w:r w:rsidRPr="00016B7D">
        <w:rPr>
          <w:rFonts w:ascii="Arial" w:hAnsi="Arial" w:cs="Arial"/>
          <w:b/>
          <w:sz w:val="20"/>
          <w:szCs w:val="20"/>
          <w:lang w:val="pt-BR"/>
        </w:rPr>
        <w:t>)</w:t>
      </w:r>
      <w:r w:rsidRPr="00016B7D">
        <w:rPr>
          <w:rStyle w:val="Refdenotaalpie"/>
          <w:rFonts w:ascii="Arial" w:hAnsi="Arial" w:cs="Arial"/>
          <w:b/>
          <w:sz w:val="20"/>
          <w:szCs w:val="20"/>
          <w:lang w:val="pt-BR"/>
        </w:rPr>
        <w:footnoteReference w:id="1"/>
      </w:r>
      <w:r w:rsidRPr="00016B7D">
        <w:rPr>
          <w:rFonts w:ascii="Arial" w:hAnsi="Arial" w:cs="Arial"/>
          <w:b/>
          <w:sz w:val="20"/>
          <w:szCs w:val="20"/>
          <w:lang w:val="pt-BR"/>
        </w:rPr>
        <w:t xml:space="preserve"> </w:t>
      </w:r>
    </w:p>
    <w:p w:rsidR="00C856AD" w:rsidRPr="00016B7D" w:rsidRDefault="00C856AD" w:rsidP="00C856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C856AD" w:rsidRPr="00016B7D" w:rsidRDefault="00C856AD" w:rsidP="00C856A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Art. lº Esta lei estabelece penalidades aos estabelecimentos localizados no Município de Londrina que discriminem pessoas em virtude de sua orientação sexual.</w:t>
      </w:r>
    </w:p>
    <w:p w:rsidR="00C856AD" w:rsidRPr="00016B7D" w:rsidRDefault="00C856AD" w:rsidP="00C856A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Art. 2º Dentro do âmbito de sua competência, o Poder Executivo Municipal apenará todo estabelecimento comercial, industrial, prestador de serviços, entidades,</w:t>
      </w:r>
    </w:p>
    <w:p w:rsidR="00C856AD" w:rsidRPr="00016B7D" w:rsidRDefault="00C856AD" w:rsidP="00C856A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proofErr w:type="gramStart"/>
      <w:r w:rsidRPr="00016B7D">
        <w:rPr>
          <w:rFonts w:ascii="Arial" w:hAnsi="Arial" w:cs="Arial"/>
          <w:sz w:val="20"/>
          <w:szCs w:val="20"/>
          <w:lang w:val="pt-BR"/>
        </w:rPr>
        <w:t>representações</w:t>
      </w:r>
      <w:proofErr w:type="gramEnd"/>
      <w:r w:rsidRPr="00016B7D">
        <w:rPr>
          <w:rFonts w:ascii="Arial" w:hAnsi="Arial" w:cs="Arial"/>
          <w:sz w:val="20"/>
          <w:szCs w:val="20"/>
          <w:lang w:val="pt-BR"/>
        </w:rPr>
        <w:t>, associações e sociedades civis que, por ato de seus proprietários, prepostos ou responsáveis, discriminar pessoas em razão de sua orientação sexual ou contra elas adotar atos de coação ou violência.</w:t>
      </w:r>
    </w:p>
    <w:p w:rsidR="00C856AD" w:rsidRPr="00016B7D" w:rsidRDefault="00C856AD" w:rsidP="00C856A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Art. 3º Entende-se por discriminação a adoção de medidas não previstas na legislação pertinente, tais como:</w:t>
      </w:r>
    </w:p>
    <w:p w:rsidR="00C856AD" w:rsidRPr="00016B7D" w:rsidRDefault="00C856AD" w:rsidP="00C856A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I – constrangimento ou exposição ao ridículo;</w:t>
      </w:r>
    </w:p>
    <w:p w:rsidR="00C856AD" w:rsidRPr="00016B7D" w:rsidRDefault="00C856AD" w:rsidP="00C856A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II – proibição ou cobrança extra para ingresso ou permanência;</w:t>
      </w:r>
    </w:p>
    <w:p w:rsidR="00C856AD" w:rsidRPr="00016B7D" w:rsidRDefault="00C856AD" w:rsidP="00C856A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III – atendimento diferenciado ou selecionado;</w:t>
      </w:r>
    </w:p>
    <w:p w:rsidR="00C856AD" w:rsidRPr="00016B7D" w:rsidRDefault="00C856AD" w:rsidP="00C856A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IV – preterimento quando da ocupação e/ou imposição de pagamento de mais de uma unidade, nos casos de hotéis, motéis ou similares;</w:t>
      </w:r>
    </w:p>
    <w:p w:rsidR="00C856AD" w:rsidRPr="00016B7D" w:rsidRDefault="00C856AD" w:rsidP="00C856A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V – preterimento em aluguel ou aquisição de imóveis para fins residenciais, comerciais ou de lazer;</w:t>
      </w:r>
    </w:p>
    <w:p w:rsidR="00C856AD" w:rsidRPr="00016B7D" w:rsidRDefault="00C856AD" w:rsidP="00C856A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VI – preterimento em exame, seleção ou entrevista para ingresso em emprego;</w:t>
      </w:r>
    </w:p>
    <w:p w:rsidR="00C856AD" w:rsidRPr="00016B7D" w:rsidRDefault="00C856AD" w:rsidP="00C856A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VII – preterimento em relação a outros consumidores que se encontrem em idêntica situação;</w:t>
      </w:r>
    </w:p>
    <w:p w:rsidR="00C856AD" w:rsidRDefault="00C856AD" w:rsidP="00C856A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VIII – adoção de atos de coação, ameaça ou violência.</w:t>
      </w:r>
    </w:p>
    <w:p w:rsidR="00C856AD" w:rsidRPr="00016B7D" w:rsidRDefault="00C856AD" w:rsidP="00C856A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76E" w:rsidRDefault="004D376E" w:rsidP="00C856AD">
      <w:pPr>
        <w:spacing w:after="0" w:line="240" w:lineRule="auto"/>
      </w:pPr>
      <w:r>
        <w:separator/>
      </w:r>
    </w:p>
  </w:endnote>
  <w:endnote w:type="continuationSeparator" w:id="0">
    <w:p w:rsidR="004D376E" w:rsidRDefault="004D376E" w:rsidP="00C85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76E" w:rsidRDefault="004D376E" w:rsidP="00C856AD">
      <w:pPr>
        <w:spacing w:after="0" w:line="240" w:lineRule="auto"/>
      </w:pPr>
      <w:r>
        <w:separator/>
      </w:r>
    </w:p>
  </w:footnote>
  <w:footnote w:type="continuationSeparator" w:id="0">
    <w:p w:rsidR="004D376E" w:rsidRDefault="004D376E" w:rsidP="00C856AD">
      <w:pPr>
        <w:spacing w:after="0" w:line="240" w:lineRule="auto"/>
      </w:pPr>
      <w:r>
        <w:continuationSeparator/>
      </w:r>
    </w:p>
  </w:footnote>
  <w:footnote w:id="1">
    <w:p w:rsidR="00C856AD" w:rsidRPr="00016B7D" w:rsidRDefault="00C856AD" w:rsidP="00C856AD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BRA/DIGU/LADL/31 Para ver la norma in extenso, también puede utilizar el siguiente link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http://dh.sdh.gov.br/download/conferencias/legisltacao-LGBT/PR.pdf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AD"/>
    <w:rsid w:val="00454480"/>
    <w:rsid w:val="004D376E"/>
    <w:rsid w:val="00C8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79F8E1E-66B8-4347-BA19-4FBFD35B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6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856AD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C856A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856A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856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h.sdh.gov.br/download/conferencias/legisltacao-LGBT/PR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2016-11-01T14:48:00Z</dcterms:created>
  <dcterms:modified xsi:type="dcterms:W3CDTF">2016-11-01T14:49:00Z</dcterms:modified>
</cp:coreProperties>
</file>