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E2A" w:rsidRDefault="007B4B1C" w:rsidP="00211E2A">
      <w:pPr>
        <w:shd w:val="clear" w:color="auto" w:fill="FFFFFF"/>
        <w:spacing w:after="0" w:line="240" w:lineRule="auto"/>
        <w:jc w:val="both"/>
        <w:rPr>
          <w:rFonts w:ascii="Arial" w:hAnsi="Arial" w:cs="Arial"/>
          <w:sz w:val="20"/>
          <w:szCs w:val="20"/>
        </w:rPr>
      </w:pPr>
      <w:r w:rsidRPr="007B4B1C">
        <w:rPr>
          <w:rFonts w:ascii="Arial" w:hAnsi="Arial" w:cs="Arial"/>
          <w:noProof/>
          <w:sz w:val="20"/>
          <w:szCs w:val="20"/>
          <w:lang w:eastAsia="es-BO"/>
        </w:rPr>
        <w:drawing>
          <wp:inline distT="0" distB="0" distL="0" distR="0">
            <wp:extent cx="876300" cy="596136"/>
            <wp:effectExtent l="0" t="0" r="0" b="0"/>
            <wp:docPr id="2" name="Imagen 2" descr="C:\Users\USUARIO\Desktop\banderas\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banderas\mexic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6962" cy="603389"/>
                    </a:xfrm>
                    <a:prstGeom prst="rect">
                      <a:avLst/>
                    </a:prstGeom>
                    <a:noFill/>
                    <a:ln>
                      <a:noFill/>
                    </a:ln>
                  </pic:spPr>
                </pic:pic>
              </a:graphicData>
            </a:graphic>
          </wp:inline>
        </w:drawing>
      </w:r>
    </w:p>
    <w:p w:rsidR="007B4B1C" w:rsidRPr="006829A9" w:rsidRDefault="007B4B1C" w:rsidP="00211E2A">
      <w:pPr>
        <w:shd w:val="clear" w:color="auto" w:fill="FFFFFF"/>
        <w:spacing w:after="0" w:line="240" w:lineRule="auto"/>
        <w:jc w:val="both"/>
        <w:rPr>
          <w:rFonts w:ascii="Arial" w:hAnsi="Arial" w:cs="Arial"/>
          <w:sz w:val="20"/>
          <w:szCs w:val="20"/>
        </w:rPr>
      </w:pPr>
    </w:p>
    <w:p w:rsidR="00211E2A" w:rsidRPr="00525B33" w:rsidRDefault="00081ED4" w:rsidP="00211E2A">
      <w:pPr>
        <w:shd w:val="clear" w:color="auto" w:fill="FFFFFF"/>
        <w:spacing w:after="0" w:line="240" w:lineRule="auto"/>
        <w:jc w:val="both"/>
        <w:rPr>
          <w:rFonts w:ascii="Arial" w:hAnsi="Arial" w:cs="Arial"/>
          <w:b/>
          <w:sz w:val="20"/>
          <w:szCs w:val="20"/>
        </w:rPr>
      </w:pPr>
      <w:r w:rsidRPr="00081ED4">
        <w:rPr>
          <w:rFonts w:ascii="Arial" w:eastAsia="Times New Roman" w:hAnsi="Arial" w:cs="Arial"/>
          <w:b/>
          <w:sz w:val="20"/>
          <w:szCs w:val="20"/>
          <w:lang w:eastAsia="es-ES"/>
        </w:rPr>
        <w:t>INSCRIPCIÓN AL RÉGIMEN DEL SEGURO SOCIAL</w:t>
      </w:r>
      <w:r w:rsidR="00211E2A" w:rsidRPr="00525B33">
        <w:rPr>
          <w:rStyle w:val="Refdenotaalpie"/>
          <w:rFonts w:ascii="Arial" w:eastAsia="Times New Roman" w:hAnsi="Arial" w:cs="Arial"/>
          <w:b/>
          <w:color w:val="000000"/>
          <w:sz w:val="20"/>
          <w:szCs w:val="20"/>
          <w:lang w:eastAsia="es-BO"/>
        </w:rPr>
        <w:footnoteReference w:id="1"/>
      </w:r>
    </w:p>
    <w:p w:rsidR="00822ABA" w:rsidRPr="00525B33" w:rsidRDefault="00081ED4" w:rsidP="00822ABA">
      <w:pPr>
        <w:shd w:val="clear" w:color="auto" w:fill="FFFFFF"/>
        <w:spacing w:after="0" w:line="240" w:lineRule="auto"/>
        <w:jc w:val="both"/>
        <w:rPr>
          <w:rFonts w:ascii="Arial" w:eastAsia="Times New Roman" w:hAnsi="Arial" w:cs="Arial"/>
          <w:color w:val="000000"/>
          <w:sz w:val="20"/>
          <w:szCs w:val="20"/>
          <w:lang w:eastAsia="es-BO"/>
        </w:rPr>
      </w:pPr>
      <w:bookmarkStart w:id="0" w:name="_Toc441661003"/>
      <w:r>
        <w:rPr>
          <w:rFonts w:ascii="Arial" w:hAnsi="Arial" w:cs="Arial"/>
          <w:color w:val="000000"/>
          <w:sz w:val="20"/>
          <w:szCs w:val="20"/>
          <w:shd w:val="clear" w:color="auto" w:fill="FFFFFF"/>
        </w:rPr>
        <w:t xml:space="preserve">Segunda Sala </w:t>
      </w:r>
      <w:r w:rsidR="00913CFF" w:rsidRPr="00525B33">
        <w:rPr>
          <w:rFonts w:ascii="Arial" w:hAnsi="Arial" w:cs="Arial"/>
          <w:color w:val="000000"/>
          <w:sz w:val="20"/>
          <w:szCs w:val="20"/>
          <w:shd w:val="clear" w:color="auto" w:fill="FFFFFF"/>
        </w:rPr>
        <w:t xml:space="preserve">de la Suprema Corte de Justicia de la Nación, </w:t>
      </w:r>
      <w:r w:rsidR="007B4B1C" w:rsidRPr="00525B33">
        <w:rPr>
          <w:rFonts w:ascii="Arial" w:eastAsia="Times New Roman" w:hAnsi="Arial" w:cs="Arial"/>
          <w:color w:val="000000"/>
          <w:sz w:val="20"/>
          <w:szCs w:val="20"/>
          <w:lang w:eastAsia="es-BO"/>
        </w:rPr>
        <w:t>México</w:t>
      </w:r>
    </w:p>
    <w:bookmarkEnd w:id="0"/>
    <w:p w:rsidR="00822ABA" w:rsidRPr="00E83C33" w:rsidRDefault="002C7F32" w:rsidP="00822ABA">
      <w:pPr>
        <w:shd w:val="clear" w:color="auto" w:fill="FFFFFF"/>
        <w:spacing w:after="0" w:line="240" w:lineRule="auto"/>
        <w:jc w:val="both"/>
        <w:rPr>
          <w:rFonts w:ascii="Arial" w:eastAsia="Times New Roman" w:hAnsi="Arial" w:cs="Arial"/>
          <w:color w:val="000000"/>
          <w:sz w:val="20"/>
          <w:szCs w:val="20"/>
          <w:lang w:eastAsia="es-BO"/>
        </w:rPr>
      </w:pPr>
      <w:r w:rsidRPr="00525B33">
        <w:rPr>
          <w:rFonts w:ascii="Arial" w:hAnsi="Arial" w:cs="Arial"/>
          <w:sz w:val="20"/>
          <w:szCs w:val="20"/>
        </w:rPr>
        <w:t xml:space="preserve">Amparo </w:t>
      </w:r>
      <w:r w:rsidR="00081ED4">
        <w:rPr>
          <w:rFonts w:ascii="Arial" w:hAnsi="Arial" w:cs="Arial"/>
          <w:sz w:val="20"/>
          <w:szCs w:val="20"/>
        </w:rPr>
        <w:t>en Revisión 485</w:t>
      </w:r>
      <w:r w:rsidR="00081ED4">
        <w:rPr>
          <w:rFonts w:ascii="Arial" w:hAnsi="Arial" w:cs="Arial"/>
          <w:caps/>
          <w:sz w:val="20"/>
          <w:szCs w:val="20"/>
        </w:rPr>
        <w:t>/2013</w:t>
      </w:r>
    </w:p>
    <w:p w:rsidR="00211E2A" w:rsidRPr="00E83C33" w:rsidRDefault="007B4B1C" w:rsidP="00211E2A">
      <w:pPr>
        <w:shd w:val="clear" w:color="auto" w:fill="FFFFFF"/>
        <w:spacing w:after="0" w:line="240" w:lineRule="auto"/>
        <w:jc w:val="both"/>
        <w:rPr>
          <w:rFonts w:ascii="Arial" w:eastAsia="Times New Roman" w:hAnsi="Arial" w:cs="Arial"/>
          <w:color w:val="000000"/>
          <w:sz w:val="20"/>
          <w:szCs w:val="20"/>
          <w:lang w:eastAsia="es-BO"/>
        </w:rPr>
      </w:pPr>
      <w:r w:rsidRPr="00E83C33">
        <w:rPr>
          <w:rFonts w:ascii="Arial" w:eastAsia="Times New Roman" w:hAnsi="Arial" w:cs="Arial"/>
          <w:color w:val="000000"/>
          <w:sz w:val="20"/>
          <w:szCs w:val="20"/>
          <w:lang w:eastAsia="es-BO"/>
        </w:rPr>
        <w:t>F</w:t>
      </w:r>
      <w:r w:rsidR="00081ED4">
        <w:rPr>
          <w:rFonts w:ascii="Arial" w:eastAsia="Times New Roman" w:hAnsi="Arial" w:cs="Arial"/>
          <w:color w:val="000000"/>
          <w:sz w:val="20"/>
          <w:szCs w:val="20"/>
          <w:lang w:eastAsia="es-BO"/>
        </w:rPr>
        <w:t>echa: 29</w:t>
      </w:r>
      <w:r w:rsidR="00E83C33" w:rsidRPr="00E83C33">
        <w:rPr>
          <w:rFonts w:ascii="Arial" w:eastAsia="Times New Roman" w:hAnsi="Arial" w:cs="Arial"/>
          <w:color w:val="000000"/>
          <w:sz w:val="20"/>
          <w:szCs w:val="20"/>
          <w:lang w:eastAsia="es-BO"/>
        </w:rPr>
        <w:t>/0</w:t>
      </w:r>
      <w:r w:rsidR="00081ED4">
        <w:rPr>
          <w:rFonts w:ascii="Arial" w:eastAsia="Times New Roman" w:hAnsi="Arial" w:cs="Arial"/>
          <w:color w:val="000000"/>
          <w:sz w:val="20"/>
          <w:szCs w:val="20"/>
          <w:lang w:eastAsia="es-BO"/>
        </w:rPr>
        <w:t>1/2014</w:t>
      </w:r>
    </w:p>
    <w:p w:rsidR="00211E2A" w:rsidRPr="00E83C33" w:rsidRDefault="00211E2A" w:rsidP="00211E2A">
      <w:pPr>
        <w:shd w:val="clear" w:color="auto" w:fill="FFFFFF"/>
        <w:spacing w:after="0" w:line="240" w:lineRule="auto"/>
        <w:jc w:val="both"/>
        <w:rPr>
          <w:rFonts w:ascii="Arial" w:eastAsia="Times New Roman" w:hAnsi="Arial" w:cs="Arial"/>
          <w:b/>
          <w:color w:val="000000"/>
          <w:sz w:val="20"/>
          <w:szCs w:val="20"/>
          <w:lang w:eastAsia="es-BO"/>
        </w:rPr>
      </w:pPr>
    </w:p>
    <w:p w:rsidR="00211E2A" w:rsidRPr="00E83C33" w:rsidRDefault="00211E2A" w:rsidP="00211E2A">
      <w:pPr>
        <w:shd w:val="clear" w:color="auto" w:fill="FFFFFF"/>
        <w:spacing w:after="0" w:line="240" w:lineRule="auto"/>
        <w:jc w:val="both"/>
        <w:rPr>
          <w:rFonts w:ascii="Arial" w:eastAsia="Times New Roman" w:hAnsi="Arial" w:cs="Arial"/>
          <w:b/>
          <w:color w:val="000000"/>
          <w:sz w:val="20"/>
          <w:szCs w:val="20"/>
          <w:lang w:eastAsia="es-BO"/>
        </w:rPr>
      </w:pPr>
      <w:r w:rsidRPr="00E83C33">
        <w:rPr>
          <w:rFonts w:ascii="Arial" w:eastAsia="Times New Roman" w:hAnsi="Arial" w:cs="Arial"/>
          <w:b/>
          <w:color w:val="000000"/>
          <w:sz w:val="20"/>
          <w:szCs w:val="20"/>
          <w:lang w:eastAsia="es-BO"/>
        </w:rPr>
        <w:t>Antecedentes</w:t>
      </w:r>
    </w:p>
    <w:p w:rsidR="00480650" w:rsidRDefault="00480650" w:rsidP="00480650">
      <w:pPr>
        <w:spacing w:line="240" w:lineRule="auto"/>
        <w:jc w:val="both"/>
        <w:rPr>
          <w:rFonts w:ascii="Arial" w:eastAsia="Times New Roman" w:hAnsi="Arial"/>
          <w:sz w:val="20"/>
          <w:szCs w:val="20"/>
          <w:lang w:val="es-MX"/>
        </w:rPr>
      </w:pPr>
    </w:p>
    <w:p w:rsidR="00081ED4" w:rsidRPr="00480650" w:rsidRDefault="00081ED4" w:rsidP="00480650">
      <w:pPr>
        <w:spacing w:line="240" w:lineRule="auto"/>
        <w:jc w:val="both"/>
        <w:rPr>
          <w:rFonts w:ascii="Arial" w:eastAsia="Times New Roman" w:hAnsi="Arial"/>
          <w:sz w:val="20"/>
          <w:szCs w:val="20"/>
          <w:lang w:val="es-MX"/>
        </w:rPr>
      </w:pPr>
      <w:r w:rsidRPr="00480650">
        <w:rPr>
          <w:rFonts w:ascii="Arial" w:eastAsia="Times New Roman" w:hAnsi="Arial"/>
          <w:sz w:val="20"/>
          <w:szCs w:val="20"/>
          <w:lang w:val="es-MX"/>
        </w:rPr>
        <w:t>Mediante escrito presentado el dos de julio de dos mil doce ante la Oficina de Correspondencia Común de los Juzgados de Distrito en el Estado de Puebla, **********, por su propio derecho, promovió juicio de amparo</w:t>
      </w:r>
      <w:r w:rsidR="00480650" w:rsidRPr="00480650">
        <w:rPr>
          <w:rFonts w:ascii="Arial" w:eastAsia="Times New Roman" w:hAnsi="Arial"/>
          <w:sz w:val="20"/>
          <w:szCs w:val="20"/>
          <w:lang w:val="es-MX"/>
        </w:rPr>
        <w:t xml:space="preserve"> en contra de las autoridades ante la negativa de inscripción a la seguridad como beneficiario de su</w:t>
      </w:r>
      <w:r w:rsidR="00D217CB">
        <w:rPr>
          <w:rFonts w:ascii="Arial" w:eastAsia="Times New Roman" w:hAnsi="Arial"/>
          <w:sz w:val="20"/>
          <w:szCs w:val="20"/>
          <w:lang w:val="es-MX"/>
        </w:rPr>
        <w:t xml:space="preserve"> esposo</w:t>
      </w:r>
      <w:bookmarkStart w:id="1" w:name="_GoBack"/>
      <w:bookmarkEnd w:id="1"/>
      <w:r w:rsidR="00480650" w:rsidRPr="00480650">
        <w:rPr>
          <w:rFonts w:ascii="Arial" w:eastAsia="Times New Roman" w:hAnsi="Arial"/>
          <w:sz w:val="20"/>
          <w:szCs w:val="20"/>
          <w:lang w:val="es-MX"/>
        </w:rPr>
        <w:t xml:space="preserve"> del mismo sexo</w:t>
      </w:r>
      <w:r w:rsidR="000137E9">
        <w:rPr>
          <w:rFonts w:ascii="Arial" w:eastAsia="Times New Roman" w:hAnsi="Arial"/>
          <w:sz w:val="20"/>
          <w:szCs w:val="20"/>
          <w:lang w:val="es-MX"/>
        </w:rPr>
        <w:t xml:space="preserve"> fallecido.</w:t>
      </w:r>
    </w:p>
    <w:p w:rsidR="00081ED4" w:rsidRPr="00480650" w:rsidRDefault="00081ED4" w:rsidP="00480650">
      <w:pPr>
        <w:spacing w:line="240" w:lineRule="auto"/>
        <w:ind w:left="709" w:right="902"/>
        <w:jc w:val="both"/>
        <w:rPr>
          <w:rFonts w:ascii="Arial" w:eastAsia="Times New Roman" w:hAnsi="Arial" w:cs="Arial"/>
          <w:i/>
          <w:sz w:val="20"/>
          <w:szCs w:val="20"/>
          <w:lang w:val="es-MX"/>
        </w:rPr>
      </w:pPr>
      <w:r w:rsidRPr="00480650">
        <w:rPr>
          <w:rFonts w:ascii="Arial" w:eastAsia="Times New Roman" w:hAnsi="Arial" w:cs="Arial"/>
          <w:i/>
          <w:sz w:val="20"/>
          <w:szCs w:val="20"/>
          <w:lang w:val="es-MX"/>
        </w:rPr>
        <w:t>“AUTORIDADES RESPONSABLES.</w:t>
      </w:r>
    </w:p>
    <w:p w:rsidR="00081ED4" w:rsidRPr="00480650" w:rsidRDefault="00081ED4" w:rsidP="00480650">
      <w:pPr>
        <w:numPr>
          <w:ilvl w:val="0"/>
          <w:numId w:val="3"/>
        </w:numPr>
        <w:spacing w:after="0" w:line="240" w:lineRule="auto"/>
        <w:ind w:right="902"/>
        <w:jc w:val="both"/>
        <w:rPr>
          <w:rFonts w:ascii="Arial" w:eastAsia="Times New Roman" w:hAnsi="Arial" w:cs="Arial"/>
          <w:i/>
          <w:sz w:val="20"/>
          <w:szCs w:val="20"/>
          <w:lang w:val="es-MX"/>
        </w:rPr>
      </w:pPr>
      <w:r w:rsidRPr="00480650">
        <w:rPr>
          <w:rFonts w:ascii="Arial" w:eastAsia="Times New Roman" w:hAnsi="Arial" w:cs="Arial"/>
          <w:i/>
          <w:sz w:val="20"/>
          <w:szCs w:val="20"/>
          <w:lang w:val="es-MX"/>
        </w:rPr>
        <w:t>Titular de la Jefatura de Afiliación y Cobranza del IMSS Delegación Estatal en Puebla.</w:t>
      </w:r>
    </w:p>
    <w:p w:rsidR="00081ED4" w:rsidRPr="00480650" w:rsidRDefault="00081ED4" w:rsidP="00480650">
      <w:pPr>
        <w:numPr>
          <w:ilvl w:val="0"/>
          <w:numId w:val="3"/>
        </w:numPr>
        <w:spacing w:after="0" w:line="240" w:lineRule="auto"/>
        <w:ind w:right="902"/>
        <w:jc w:val="both"/>
        <w:rPr>
          <w:rFonts w:ascii="Arial" w:eastAsia="Times New Roman" w:hAnsi="Arial" w:cs="Arial"/>
          <w:i/>
          <w:sz w:val="20"/>
          <w:szCs w:val="20"/>
          <w:lang w:val="es-MX"/>
        </w:rPr>
      </w:pPr>
      <w:r w:rsidRPr="00480650">
        <w:rPr>
          <w:rFonts w:ascii="Arial" w:eastAsia="Times New Roman" w:hAnsi="Arial" w:cs="Arial"/>
          <w:i/>
          <w:sz w:val="20"/>
          <w:szCs w:val="20"/>
          <w:lang w:val="es-MX"/>
        </w:rPr>
        <w:t>Cámara de Diputados del Congreso de la Unión.</w:t>
      </w:r>
    </w:p>
    <w:p w:rsidR="00081ED4" w:rsidRPr="00480650" w:rsidRDefault="00081ED4" w:rsidP="00480650">
      <w:pPr>
        <w:numPr>
          <w:ilvl w:val="0"/>
          <w:numId w:val="3"/>
        </w:numPr>
        <w:spacing w:after="0" w:line="240" w:lineRule="auto"/>
        <w:ind w:right="902"/>
        <w:jc w:val="both"/>
        <w:rPr>
          <w:rFonts w:ascii="Arial" w:eastAsia="Times New Roman" w:hAnsi="Arial" w:cs="Arial"/>
          <w:i/>
          <w:sz w:val="20"/>
          <w:szCs w:val="20"/>
          <w:lang w:val="es-MX"/>
        </w:rPr>
      </w:pPr>
      <w:r w:rsidRPr="00480650">
        <w:rPr>
          <w:rFonts w:ascii="Arial" w:eastAsia="Times New Roman" w:hAnsi="Arial" w:cs="Arial"/>
          <w:i/>
          <w:sz w:val="20"/>
          <w:szCs w:val="20"/>
          <w:lang w:val="es-MX"/>
        </w:rPr>
        <w:t>Cámara de Senadores del Congreso de la Unión.</w:t>
      </w:r>
    </w:p>
    <w:p w:rsidR="00081ED4" w:rsidRPr="00480650" w:rsidRDefault="00081ED4" w:rsidP="00480650">
      <w:pPr>
        <w:numPr>
          <w:ilvl w:val="0"/>
          <w:numId w:val="3"/>
        </w:numPr>
        <w:spacing w:after="0" w:line="240" w:lineRule="auto"/>
        <w:ind w:right="902"/>
        <w:jc w:val="both"/>
        <w:rPr>
          <w:rFonts w:ascii="Arial" w:eastAsia="Times New Roman" w:hAnsi="Arial" w:cs="Arial"/>
          <w:i/>
          <w:sz w:val="20"/>
          <w:szCs w:val="20"/>
          <w:lang w:val="es-MX"/>
        </w:rPr>
      </w:pPr>
      <w:r w:rsidRPr="00480650">
        <w:rPr>
          <w:rFonts w:ascii="Arial" w:eastAsia="Times New Roman" w:hAnsi="Arial" w:cs="Arial"/>
          <w:i/>
          <w:sz w:val="20"/>
          <w:szCs w:val="20"/>
          <w:lang w:val="es-MX"/>
        </w:rPr>
        <w:t>Presidente de la República.</w:t>
      </w:r>
    </w:p>
    <w:p w:rsidR="00081ED4" w:rsidRPr="00480650" w:rsidRDefault="00081ED4" w:rsidP="00480650">
      <w:pPr>
        <w:numPr>
          <w:ilvl w:val="0"/>
          <w:numId w:val="3"/>
        </w:numPr>
        <w:spacing w:after="0" w:line="240" w:lineRule="auto"/>
        <w:ind w:right="902"/>
        <w:jc w:val="both"/>
        <w:rPr>
          <w:rFonts w:ascii="Arial" w:eastAsia="Times New Roman" w:hAnsi="Arial" w:cs="Arial"/>
          <w:i/>
          <w:sz w:val="20"/>
          <w:szCs w:val="20"/>
          <w:lang w:val="es-MX"/>
        </w:rPr>
      </w:pPr>
      <w:r w:rsidRPr="00480650">
        <w:rPr>
          <w:rFonts w:ascii="Arial" w:eastAsia="Times New Roman" w:hAnsi="Arial" w:cs="Arial"/>
          <w:i/>
          <w:sz w:val="20"/>
          <w:szCs w:val="20"/>
          <w:lang w:val="es-MX"/>
        </w:rPr>
        <w:t>Secretario de Gobernación.</w:t>
      </w:r>
    </w:p>
    <w:p w:rsidR="00480650" w:rsidRDefault="00480650" w:rsidP="00480650">
      <w:pPr>
        <w:spacing w:line="240" w:lineRule="auto"/>
        <w:ind w:left="709" w:right="902"/>
        <w:jc w:val="both"/>
        <w:rPr>
          <w:rFonts w:ascii="Arial" w:eastAsia="Times New Roman" w:hAnsi="Arial" w:cs="Arial"/>
          <w:i/>
          <w:sz w:val="20"/>
          <w:szCs w:val="20"/>
          <w:lang w:val="es-MX"/>
        </w:rPr>
      </w:pPr>
    </w:p>
    <w:p w:rsidR="00081ED4" w:rsidRPr="00480650" w:rsidRDefault="00081ED4" w:rsidP="00480650">
      <w:pPr>
        <w:spacing w:line="240" w:lineRule="auto"/>
        <w:ind w:left="709" w:right="902"/>
        <w:jc w:val="both"/>
        <w:rPr>
          <w:rFonts w:ascii="Arial" w:eastAsia="Times New Roman" w:hAnsi="Arial" w:cs="Arial"/>
          <w:i/>
          <w:sz w:val="20"/>
          <w:szCs w:val="20"/>
          <w:lang w:val="es-MX"/>
        </w:rPr>
      </w:pPr>
      <w:r w:rsidRPr="00480650">
        <w:rPr>
          <w:rFonts w:ascii="Arial" w:eastAsia="Times New Roman" w:hAnsi="Arial" w:cs="Arial"/>
          <w:i/>
          <w:sz w:val="20"/>
          <w:szCs w:val="20"/>
          <w:lang w:val="es-MX"/>
        </w:rPr>
        <w:t>ACTOS RECLAMADOS.</w:t>
      </w:r>
    </w:p>
    <w:p w:rsidR="00081ED4" w:rsidRPr="00480650" w:rsidRDefault="00081ED4" w:rsidP="00480650">
      <w:pPr>
        <w:spacing w:line="240" w:lineRule="auto"/>
        <w:ind w:left="709" w:right="902"/>
        <w:jc w:val="both"/>
        <w:rPr>
          <w:rFonts w:ascii="Arial" w:eastAsia="Times New Roman" w:hAnsi="Arial" w:cs="Arial"/>
          <w:i/>
          <w:sz w:val="20"/>
          <w:szCs w:val="20"/>
          <w:lang w:val="es-MX"/>
        </w:rPr>
      </w:pPr>
      <w:r w:rsidRPr="00480650">
        <w:rPr>
          <w:rFonts w:ascii="Arial" w:eastAsia="Times New Roman" w:hAnsi="Arial" w:cs="Arial"/>
          <w:i/>
          <w:sz w:val="20"/>
          <w:szCs w:val="20"/>
          <w:lang w:val="es-MX"/>
        </w:rPr>
        <w:t>De la Cámara de Diputados, Cámara de Senadores, Presidente de la República y Secretario de Gobernación:</w:t>
      </w:r>
    </w:p>
    <w:p w:rsidR="00081ED4" w:rsidRPr="00480650" w:rsidRDefault="00081ED4" w:rsidP="00480650">
      <w:pPr>
        <w:spacing w:line="240" w:lineRule="auto"/>
        <w:ind w:left="709" w:right="902"/>
        <w:jc w:val="both"/>
        <w:rPr>
          <w:rFonts w:ascii="Arial" w:eastAsia="Times New Roman" w:hAnsi="Arial" w:cs="Arial"/>
          <w:i/>
          <w:sz w:val="20"/>
          <w:szCs w:val="20"/>
          <w:lang w:val="es-MX"/>
        </w:rPr>
      </w:pPr>
      <w:r w:rsidRPr="00480650">
        <w:rPr>
          <w:rFonts w:ascii="Arial" w:eastAsia="Times New Roman" w:hAnsi="Arial" w:cs="Arial"/>
          <w:i/>
          <w:sz w:val="20"/>
          <w:szCs w:val="20"/>
          <w:lang w:val="es-MX"/>
        </w:rPr>
        <w:t>La expedición, promulgación, refrendo y aplicación del artículo 84, fracción III de la Ley del Seguro Social.</w:t>
      </w:r>
    </w:p>
    <w:p w:rsidR="00081ED4" w:rsidRPr="00480650" w:rsidRDefault="00081ED4" w:rsidP="00480650">
      <w:pPr>
        <w:spacing w:line="240" w:lineRule="auto"/>
        <w:ind w:left="709" w:right="902"/>
        <w:jc w:val="both"/>
        <w:rPr>
          <w:rFonts w:ascii="Arial" w:eastAsia="Times New Roman" w:hAnsi="Arial" w:cs="Arial"/>
          <w:i/>
          <w:sz w:val="20"/>
          <w:szCs w:val="20"/>
          <w:lang w:val="es-MX"/>
        </w:rPr>
      </w:pPr>
      <w:r w:rsidRPr="00480650">
        <w:rPr>
          <w:rFonts w:ascii="Arial" w:eastAsia="Times New Roman" w:hAnsi="Arial" w:cs="Arial"/>
          <w:i/>
          <w:sz w:val="20"/>
          <w:szCs w:val="20"/>
          <w:lang w:val="es-MX"/>
        </w:rPr>
        <w:t>Del Titular de la Jefatura de Afiliación y Cobranza del IMSS Delegación Estatal en Puebla:</w:t>
      </w:r>
    </w:p>
    <w:p w:rsidR="00081ED4" w:rsidRPr="00480650" w:rsidRDefault="00081ED4" w:rsidP="00480650">
      <w:pPr>
        <w:numPr>
          <w:ilvl w:val="0"/>
          <w:numId w:val="4"/>
        </w:numPr>
        <w:spacing w:after="0" w:line="240" w:lineRule="auto"/>
        <w:ind w:right="902"/>
        <w:jc w:val="both"/>
        <w:rPr>
          <w:rFonts w:ascii="Arial" w:eastAsia="Times New Roman" w:hAnsi="Arial" w:cs="Arial"/>
          <w:i/>
          <w:sz w:val="20"/>
          <w:szCs w:val="20"/>
          <w:lang w:val="es-MX"/>
        </w:rPr>
      </w:pPr>
      <w:r w:rsidRPr="00480650">
        <w:rPr>
          <w:rFonts w:ascii="Arial" w:eastAsia="Times New Roman" w:hAnsi="Arial" w:cs="Arial"/>
          <w:i/>
          <w:sz w:val="20"/>
          <w:szCs w:val="20"/>
          <w:lang w:val="es-MX"/>
        </w:rPr>
        <w:t>El oficio No. 229001910100/3059/2012 de 13 de junio de 2012, en el que se aplica el artículo 84, fracción III de la Ley del Seguro Social.</w:t>
      </w:r>
    </w:p>
    <w:p w:rsidR="00081ED4" w:rsidRPr="00480650" w:rsidRDefault="00081ED4" w:rsidP="00480650">
      <w:pPr>
        <w:numPr>
          <w:ilvl w:val="0"/>
          <w:numId w:val="4"/>
        </w:numPr>
        <w:spacing w:after="0" w:line="240" w:lineRule="auto"/>
        <w:ind w:right="902"/>
        <w:jc w:val="both"/>
        <w:rPr>
          <w:rFonts w:ascii="Arial" w:eastAsia="Times New Roman" w:hAnsi="Arial" w:cs="Arial"/>
          <w:i/>
          <w:sz w:val="20"/>
          <w:szCs w:val="20"/>
          <w:lang w:val="es-MX"/>
        </w:rPr>
      </w:pPr>
      <w:r w:rsidRPr="00480650">
        <w:rPr>
          <w:rFonts w:ascii="Arial" w:eastAsia="Times New Roman" w:hAnsi="Arial" w:cs="Arial"/>
          <w:i/>
          <w:sz w:val="20"/>
          <w:szCs w:val="20"/>
          <w:lang w:val="es-MX"/>
        </w:rPr>
        <w:t>El oficio No. 2290019101/2591/12 de 16 de mayo de 2012, en el que sostiene que la autoridad responsable interpretó y aplicó erróneamente los siguientes instrumentos normativos:</w:t>
      </w:r>
    </w:p>
    <w:p w:rsidR="00081ED4" w:rsidRPr="00480650" w:rsidRDefault="00081ED4" w:rsidP="00480650">
      <w:pPr>
        <w:numPr>
          <w:ilvl w:val="2"/>
          <w:numId w:val="4"/>
        </w:numPr>
        <w:spacing w:after="0" w:line="240" w:lineRule="auto"/>
        <w:ind w:right="902"/>
        <w:jc w:val="both"/>
        <w:rPr>
          <w:rFonts w:ascii="Arial" w:eastAsia="Times New Roman" w:hAnsi="Arial" w:cs="Arial"/>
          <w:i/>
          <w:sz w:val="20"/>
          <w:szCs w:val="20"/>
          <w:lang w:val="es-MX"/>
        </w:rPr>
      </w:pPr>
      <w:r w:rsidRPr="00480650">
        <w:rPr>
          <w:rFonts w:ascii="Arial" w:eastAsia="Times New Roman" w:hAnsi="Arial" w:cs="Arial"/>
          <w:i/>
          <w:sz w:val="20"/>
          <w:szCs w:val="20"/>
          <w:lang w:val="es-MX"/>
        </w:rPr>
        <w:t>Anexo I. Especificaciones y documentos para la inscripción de beneficiario, esposa, esposo e hijos.</w:t>
      </w:r>
    </w:p>
    <w:p w:rsidR="00081ED4" w:rsidRPr="00480650" w:rsidRDefault="00081ED4" w:rsidP="00480650">
      <w:pPr>
        <w:numPr>
          <w:ilvl w:val="2"/>
          <w:numId w:val="4"/>
        </w:numPr>
        <w:spacing w:after="0" w:line="240" w:lineRule="auto"/>
        <w:ind w:right="902"/>
        <w:jc w:val="both"/>
        <w:rPr>
          <w:rFonts w:ascii="Arial" w:eastAsia="Times New Roman" w:hAnsi="Arial" w:cs="Arial"/>
          <w:i/>
          <w:sz w:val="20"/>
          <w:szCs w:val="20"/>
          <w:lang w:val="es-MX"/>
        </w:rPr>
      </w:pPr>
      <w:r w:rsidRPr="00480650">
        <w:rPr>
          <w:rFonts w:ascii="Arial" w:eastAsia="Times New Roman" w:hAnsi="Arial" w:cs="Arial"/>
          <w:i/>
          <w:sz w:val="20"/>
          <w:szCs w:val="20"/>
          <w:lang w:val="es-MX"/>
        </w:rPr>
        <w:t>Procedimiento para el Registro de Derecho Habientes con clave ********** de la Dirección de Incorporación y Recaudación.</w:t>
      </w:r>
    </w:p>
    <w:p w:rsidR="00081ED4" w:rsidRPr="00480650" w:rsidRDefault="00081ED4" w:rsidP="00480650">
      <w:pPr>
        <w:numPr>
          <w:ilvl w:val="2"/>
          <w:numId w:val="4"/>
        </w:numPr>
        <w:spacing w:after="0" w:line="240" w:lineRule="auto"/>
        <w:ind w:right="902"/>
        <w:jc w:val="both"/>
        <w:rPr>
          <w:rFonts w:ascii="Arial" w:eastAsia="Times New Roman" w:hAnsi="Arial" w:cs="Arial"/>
          <w:i/>
          <w:sz w:val="20"/>
          <w:szCs w:val="20"/>
          <w:lang w:val="es-MX"/>
        </w:rPr>
      </w:pPr>
      <w:r w:rsidRPr="00480650">
        <w:rPr>
          <w:rFonts w:ascii="Arial" w:eastAsia="Times New Roman" w:hAnsi="Arial" w:cs="Arial"/>
          <w:i/>
          <w:sz w:val="20"/>
          <w:szCs w:val="20"/>
          <w:lang w:val="es-MX"/>
        </w:rPr>
        <w:lastRenderedPageBreak/>
        <w:t>Trámite ********** registrado ante la Comisión Federal para la Mejora Regulatoria.”</w:t>
      </w:r>
    </w:p>
    <w:p w:rsidR="00081ED4" w:rsidRPr="00480650" w:rsidRDefault="00081ED4" w:rsidP="00081ED4">
      <w:pPr>
        <w:ind w:right="902"/>
        <w:jc w:val="both"/>
        <w:rPr>
          <w:rFonts w:ascii="Arial" w:eastAsia="Times New Roman" w:hAnsi="Arial" w:cs="Arial"/>
          <w:i/>
          <w:sz w:val="20"/>
          <w:szCs w:val="20"/>
          <w:lang w:val="es-MX"/>
        </w:rPr>
      </w:pPr>
    </w:p>
    <w:p w:rsidR="00211E2A" w:rsidRPr="00525B33" w:rsidRDefault="00211E2A" w:rsidP="00211E2A">
      <w:pPr>
        <w:shd w:val="clear" w:color="auto" w:fill="FFFFFF"/>
        <w:spacing w:after="0" w:line="240" w:lineRule="auto"/>
        <w:jc w:val="both"/>
        <w:rPr>
          <w:rFonts w:ascii="Arial" w:eastAsia="Times New Roman" w:hAnsi="Arial" w:cs="Arial"/>
          <w:b/>
          <w:color w:val="000000"/>
          <w:sz w:val="20"/>
          <w:szCs w:val="20"/>
          <w:lang w:eastAsia="es-BO"/>
        </w:rPr>
      </w:pPr>
      <w:r w:rsidRPr="00525B33">
        <w:rPr>
          <w:rFonts w:ascii="Arial" w:eastAsia="Times New Roman" w:hAnsi="Arial" w:cs="Arial"/>
          <w:b/>
          <w:color w:val="000000"/>
          <w:sz w:val="20"/>
          <w:szCs w:val="20"/>
          <w:lang w:eastAsia="es-BO"/>
        </w:rPr>
        <w:t xml:space="preserve">Sentencia </w:t>
      </w:r>
    </w:p>
    <w:p w:rsidR="00211E2A" w:rsidRDefault="00211E2A" w:rsidP="00211E2A">
      <w:pPr>
        <w:shd w:val="clear" w:color="auto" w:fill="FFFFFF"/>
        <w:spacing w:after="0" w:line="240" w:lineRule="auto"/>
        <w:jc w:val="both"/>
        <w:rPr>
          <w:rFonts w:ascii="Arial" w:eastAsia="Times New Roman" w:hAnsi="Arial" w:cs="Arial"/>
          <w:b/>
          <w:color w:val="000000"/>
          <w:sz w:val="20"/>
          <w:szCs w:val="20"/>
          <w:lang w:eastAsia="es-BO"/>
        </w:rPr>
      </w:pPr>
    </w:p>
    <w:p w:rsidR="00480650" w:rsidRPr="00480650" w:rsidRDefault="00480650" w:rsidP="00480650">
      <w:pPr>
        <w:spacing w:line="240" w:lineRule="auto"/>
        <w:jc w:val="both"/>
        <w:rPr>
          <w:rFonts w:ascii="Arial" w:eastAsia="Times New Roman" w:hAnsi="Arial" w:cs="Arial"/>
          <w:sz w:val="20"/>
          <w:szCs w:val="20"/>
          <w:lang w:eastAsia="es-ES"/>
        </w:rPr>
      </w:pPr>
      <w:r w:rsidRPr="00480650">
        <w:rPr>
          <w:rFonts w:ascii="Arial" w:eastAsia="Times New Roman" w:hAnsi="Arial" w:cs="Arial"/>
          <w:sz w:val="20"/>
          <w:szCs w:val="20"/>
          <w:lang w:eastAsia="es-ES"/>
        </w:rPr>
        <w:t>Finalmente, debe decirse que esta Segunda Sala advierte de las constancias de autos que el cinco de septiembre de dos mil doce, esto es, después de presentada la demanda de amparo, lamentablemente se produjo el deceso de **********, quien fuera el cónyuge del hoy quejoso cuya inscripción al régimen del seguro social negaron las autoridades responsables bajo una interpretación literal y restrictiva del contenido del artículo 84, fracción III de la Ley del Seguro Social.</w:t>
      </w:r>
    </w:p>
    <w:p w:rsidR="00480650" w:rsidRPr="00480650" w:rsidRDefault="00480650" w:rsidP="00480650">
      <w:pPr>
        <w:spacing w:line="240" w:lineRule="auto"/>
        <w:jc w:val="both"/>
        <w:rPr>
          <w:rFonts w:ascii="Arial" w:eastAsia="Times New Roman" w:hAnsi="Arial" w:cs="Arial"/>
          <w:sz w:val="20"/>
          <w:szCs w:val="20"/>
          <w:lang w:eastAsia="es-ES"/>
        </w:rPr>
      </w:pPr>
      <w:r w:rsidRPr="00480650">
        <w:rPr>
          <w:rFonts w:ascii="Arial" w:eastAsia="Times New Roman" w:hAnsi="Arial" w:cs="Arial"/>
          <w:sz w:val="20"/>
          <w:szCs w:val="20"/>
          <w:lang w:eastAsia="es-ES"/>
        </w:rPr>
        <w:t>Si bien lo resuelto en esta ejecutoria de amparo no podrá restituir en forma cabal la afectación que resintió el quejoso con el actuar de las autoridades responsables, esta Suprema Corte de Justicia de la Nación considera que debe impartírsele justicia para que en un futuro no se le vuelva aplicar la citada disposición bajo la interpretación restrictiva que hizo el Instituto Mexicano del Seguro Social y, al mismo tiempo, para que se reconozca con efectos retroactivos la inscripción en el régimen de enfermedades de quien en vida llevara el nombre de **********; lo anterior, a efecto de salvaguardar las acciones conducentes que estime conveniente iniciar el quejoso.</w:t>
      </w:r>
    </w:p>
    <w:p w:rsidR="00480650" w:rsidRPr="00480650" w:rsidRDefault="00480650" w:rsidP="00480650">
      <w:pPr>
        <w:spacing w:line="240" w:lineRule="auto"/>
        <w:jc w:val="both"/>
        <w:rPr>
          <w:rFonts w:ascii="Arial" w:eastAsia="Times New Roman" w:hAnsi="Arial"/>
          <w:sz w:val="20"/>
          <w:szCs w:val="20"/>
          <w:lang w:eastAsia="es-ES"/>
        </w:rPr>
      </w:pPr>
      <w:r w:rsidRPr="00480650">
        <w:rPr>
          <w:rFonts w:ascii="Arial" w:eastAsia="Times New Roman" w:hAnsi="Arial"/>
          <w:sz w:val="20"/>
          <w:szCs w:val="20"/>
          <w:lang w:eastAsia="es-ES"/>
        </w:rPr>
        <w:t>Por lo expuesto y fundado, se resuelve:</w:t>
      </w:r>
    </w:p>
    <w:p w:rsidR="00480650" w:rsidRPr="00480650" w:rsidRDefault="00480650" w:rsidP="00480650">
      <w:pPr>
        <w:spacing w:line="240" w:lineRule="auto"/>
        <w:jc w:val="both"/>
        <w:rPr>
          <w:rFonts w:ascii="Arial" w:eastAsia="Times New Roman" w:hAnsi="Arial"/>
          <w:sz w:val="20"/>
          <w:szCs w:val="20"/>
          <w:lang w:eastAsia="es-ES"/>
        </w:rPr>
      </w:pPr>
      <w:r w:rsidRPr="00480650">
        <w:rPr>
          <w:rFonts w:ascii="Arial" w:eastAsia="Times New Roman" w:hAnsi="Arial"/>
          <w:b/>
          <w:sz w:val="20"/>
          <w:szCs w:val="20"/>
          <w:lang w:eastAsia="es-ES"/>
        </w:rPr>
        <w:t>ÚNICO.</w:t>
      </w:r>
      <w:r w:rsidRPr="00480650">
        <w:rPr>
          <w:rFonts w:ascii="Arial" w:eastAsia="Times New Roman" w:hAnsi="Arial"/>
          <w:sz w:val="20"/>
          <w:szCs w:val="20"/>
          <w:lang w:eastAsia="es-ES"/>
        </w:rPr>
        <w:t xml:space="preserve"> En la materia de la revisión, la Justicia de la Unión ampara y protege a ********** en contra de las autoridades y actos precisados en el resultando primero de esta sentencia, para los efectos precisados en la última parte de la presente resolución.</w:t>
      </w:r>
    </w:p>
    <w:p w:rsidR="00480650" w:rsidRPr="00525B33" w:rsidRDefault="00480650" w:rsidP="00211E2A">
      <w:pPr>
        <w:shd w:val="clear" w:color="auto" w:fill="FFFFFF"/>
        <w:spacing w:after="0" w:line="240" w:lineRule="auto"/>
        <w:jc w:val="both"/>
        <w:rPr>
          <w:rFonts w:ascii="Arial" w:eastAsia="Times New Roman" w:hAnsi="Arial" w:cs="Arial"/>
          <w:b/>
          <w:color w:val="000000"/>
          <w:sz w:val="20"/>
          <w:szCs w:val="20"/>
          <w:lang w:eastAsia="es-BO"/>
        </w:rPr>
      </w:pPr>
    </w:p>
    <w:sectPr w:rsidR="00480650" w:rsidRPr="00525B3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5E1" w:rsidRDefault="00E675E1" w:rsidP="00211E2A">
      <w:pPr>
        <w:spacing w:after="0" w:line="240" w:lineRule="auto"/>
      </w:pPr>
      <w:r>
        <w:separator/>
      </w:r>
    </w:p>
  </w:endnote>
  <w:endnote w:type="continuationSeparator" w:id="0">
    <w:p w:rsidR="00E675E1" w:rsidRDefault="00E675E1" w:rsidP="00211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5E1" w:rsidRDefault="00E675E1" w:rsidP="00211E2A">
      <w:pPr>
        <w:spacing w:after="0" w:line="240" w:lineRule="auto"/>
      </w:pPr>
      <w:r>
        <w:separator/>
      </w:r>
    </w:p>
  </w:footnote>
  <w:footnote w:type="continuationSeparator" w:id="0">
    <w:p w:rsidR="00E675E1" w:rsidRDefault="00E675E1" w:rsidP="00211E2A">
      <w:pPr>
        <w:spacing w:after="0" w:line="240" w:lineRule="auto"/>
      </w:pPr>
      <w:r>
        <w:continuationSeparator/>
      </w:r>
    </w:p>
  </w:footnote>
  <w:footnote w:id="1">
    <w:p w:rsidR="00B46B98" w:rsidRPr="00B46B98" w:rsidRDefault="00211E2A" w:rsidP="00B46B98">
      <w:pPr>
        <w:shd w:val="clear" w:color="auto" w:fill="FFFFFF"/>
        <w:spacing w:after="0" w:line="240" w:lineRule="atLeast"/>
        <w:rPr>
          <w:rFonts w:ascii="Arial" w:eastAsia="Times New Roman" w:hAnsi="Arial" w:cs="Arial"/>
          <w:color w:val="808080"/>
          <w:sz w:val="24"/>
          <w:szCs w:val="24"/>
          <w:lang w:eastAsia="es-BO"/>
        </w:rPr>
      </w:pPr>
      <w:r>
        <w:rPr>
          <w:rStyle w:val="Refdenotaalpie"/>
        </w:rPr>
        <w:footnoteRef/>
      </w:r>
      <w:r>
        <w:t xml:space="preserve"> </w:t>
      </w:r>
      <w:r w:rsidR="001F11EE">
        <w:t xml:space="preserve">Leer sentencia completa en: </w:t>
      </w:r>
      <w:r w:rsidR="00081ED4" w:rsidRPr="00081ED4">
        <w:t>http://www2.scjn.gob.mx/ConsultaTematica/PaginasPub/DetallePub.aspx?AsuntoID=156483</w:t>
      </w:r>
    </w:p>
    <w:p w:rsidR="00B46B98" w:rsidRPr="00B46B98" w:rsidRDefault="00B46B98" w:rsidP="00F63847">
      <w:pPr>
        <w:shd w:val="clear" w:color="auto" w:fill="FFFFFF"/>
        <w:spacing w:after="0" w:line="240" w:lineRule="atLeast"/>
        <w:ind w:left="45"/>
        <w:textAlignment w:val="center"/>
        <w:rPr>
          <w:rFonts w:ascii="Arial" w:eastAsia="Times New Roman" w:hAnsi="Arial" w:cs="Arial"/>
          <w:color w:val="808080"/>
          <w:sz w:val="20"/>
          <w:szCs w:val="20"/>
          <w:lang w:eastAsia="es-BO"/>
        </w:rPr>
      </w:pPr>
    </w:p>
    <w:p w:rsidR="00B46B98" w:rsidRPr="00B46B98" w:rsidRDefault="00B46B98" w:rsidP="00F63847">
      <w:pPr>
        <w:shd w:val="clear" w:color="auto" w:fill="FFFFFF"/>
        <w:spacing w:after="0" w:line="240" w:lineRule="atLeast"/>
        <w:ind w:left="45"/>
        <w:textAlignment w:val="center"/>
        <w:rPr>
          <w:rFonts w:ascii="Arial" w:eastAsia="Times New Roman" w:hAnsi="Arial" w:cs="Arial"/>
          <w:color w:val="808080"/>
          <w:sz w:val="20"/>
          <w:szCs w:val="20"/>
          <w:lang w:eastAsia="es-BO"/>
        </w:rPr>
      </w:pPr>
    </w:p>
    <w:p w:rsidR="00211E2A" w:rsidRDefault="00B46B98" w:rsidP="00B46B98">
      <w:pPr>
        <w:pStyle w:val="Textonotapie"/>
      </w:pPr>
      <w:r w:rsidRPr="00B46B98">
        <w:rPr>
          <w:rFonts w:ascii="Arial" w:eastAsia="Times New Roman" w:hAnsi="Arial" w:cs="Arial"/>
          <w:color w:val="545454"/>
          <w:sz w:val="24"/>
          <w:szCs w:val="24"/>
          <w:shd w:val="clear" w:color="auto" w:fill="FFFFFF"/>
          <w:lang w:eastAsia="es-BO"/>
        </w:rPr>
        <w:b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719A8"/>
    <w:multiLevelType w:val="hybridMultilevel"/>
    <w:tmpl w:val="FF503D1A"/>
    <w:lvl w:ilvl="0" w:tplc="07442D4C">
      <w:start w:val="1"/>
      <w:numFmt w:val="decimal"/>
      <w:lvlText w:val="%1."/>
      <w:lvlJc w:val="right"/>
      <w:pPr>
        <w:ind w:left="36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70E70EA"/>
    <w:multiLevelType w:val="hybridMultilevel"/>
    <w:tmpl w:val="73E48862"/>
    <w:lvl w:ilvl="0" w:tplc="120A56CE">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3AA46206"/>
    <w:multiLevelType w:val="hybridMultilevel"/>
    <w:tmpl w:val="3C0A9F8E"/>
    <w:lvl w:ilvl="0" w:tplc="250A3270">
      <w:start w:val="1"/>
      <w:numFmt w:val="lowerLetter"/>
      <w:lvlText w:val="%1."/>
      <w:lvlJc w:val="left"/>
      <w:pPr>
        <w:ind w:left="1069" w:hanging="360"/>
      </w:pPr>
      <w:rPr>
        <w:rFonts w:hint="default"/>
      </w:r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550E4536"/>
    <w:multiLevelType w:val="multilevel"/>
    <w:tmpl w:val="CFD82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E2A"/>
    <w:rsid w:val="000137E9"/>
    <w:rsid w:val="00081ED4"/>
    <w:rsid w:val="00185ABA"/>
    <w:rsid w:val="001A1629"/>
    <w:rsid w:val="001F11EE"/>
    <w:rsid w:val="00211E2A"/>
    <w:rsid w:val="002C7F32"/>
    <w:rsid w:val="00480650"/>
    <w:rsid w:val="004A0A04"/>
    <w:rsid w:val="00525B33"/>
    <w:rsid w:val="00557F74"/>
    <w:rsid w:val="007B4B1C"/>
    <w:rsid w:val="00822ABA"/>
    <w:rsid w:val="00913CFF"/>
    <w:rsid w:val="00996FF0"/>
    <w:rsid w:val="009A1B4D"/>
    <w:rsid w:val="00A334D9"/>
    <w:rsid w:val="00AA61D1"/>
    <w:rsid w:val="00AB24C6"/>
    <w:rsid w:val="00B46B98"/>
    <w:rsid w:val="00D217CB"/>
    <w:rsid w:val="00DA3310"/>
    <w:rsid w:val="00E675E1"/>
    <w:rsid w:val="00E83C33"/>
    <w:rsid w:val="00EF7CE6"/>
    <w:rsid w:val="00F63847"/>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B3ACA-ED00-418E-8DE1-4E554BA1D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E2A"/>
    <w:pPr>
      <w:spacing w:after="200" w:line="276" w:lineRule="auto"/>
    </w:pPr>
  </w:style>
  <w:style w:type="paragraph" w:styleId="Ttulo1">
    <w:name w:val="heading 1"/>
    <w:basedOn w:val="Normal"/>
    <w:next w:val="Normal"/>
    <w:link w:val="Ttulo1Car"/>
    <w:uiPriority w:val="9"/>
    <w:qFormat/>
    <w:rsid w:val="00822A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7B4B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11E2A"/>
    <w:rPr>
      <w:color w:val="0563C1"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nhideWhenUsed/>
    <w:qFormat/>
    <w:rsid w:val="00211E2A"/>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rsid w:val="00211E2A"/>
    <w:rPr>
      <w:sz w:val="20"/>
      <w:szCs w:val="20"/>
    </w:rPr>
  </w:style>
  <w:style w:type="character" w:styleId="Refdenotaalpie">
    <w:name w:val="footnote reference"/>
    <w:aliases w:val="Texto nota al pie,ftref,Footnote Reference Char3,Ref. de nota al"/>
    <w:basedOn w:val="Fuentedeprrafopredeter"/>
    <w:uiPriority w:val="99"/>
    <w:unhideWhenUsed/>
    <w:qFormat/>
    <w:rsid w:val="00211E2A"/>
    <w:rPr>
      <w:vertAlign w:val="superscript"/>
    </w:rPr>
  </w:style>
  <w:style w:type="character" w:customStyle="1" w:styleId="Ttulo1Car">
    <w:name w:val="Título 1 Car"/>
    <w:basedOn w:val="Fuentedeprrafopredeter"/>
    <w:link w:val="Ttulo1"/>
    <w:uiPriority w:val="9"/>
    <w:rsid w:val="00822AB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7B4B1C"/>
    <w:rPr>
      <w:rFonts w:asciiTheme="majorHAnsi" w:eastAsiaTheme="majorEastAsia" w:hAnsiTheme="majorHAnsi" w:cstheme="majorBidi"/>
      <w:color w:val="2E74B5" w:themeColor="accent1" w:themeShade="BF"/>
      <w:sz w:val="26"/>
      <w:szCs w:val="26"/>
    </w:rPr>
  </w:style>
  <w:style w:type="paragraph" w:customStyle="1" w:styleId="corte4fondoCar">
    <w:name w:val="corte4 fondo Car"/>
    <w:basedOn w:val="Normal"/>
    <w:link w:val="corte4fondoCarCar"/>
    <w:rsid w:val="00F63847"/>
    <w:pPr>
      <w:spacing w:after="0" w:line="360" w:lineRule="auto"/>
      <w:ind w:firstLine="709"/>
      <w:jc w:val="both"/>
    </w:pPr>
    <w:rPr>
      <w:rFonts w:ascii="Arial" w:eastAsia="Times New Roman" w:hAnsi="Arial" w:cs="Times New Roman"/>
      <w:sz w:val="30"/>
      <w:szCs w:val="20"/>
      <w:lang w:val="es-ES_tradnl" w:eastAsia="es-MX"/>
    </w:rPr>
  </w:style>
  <w:style w:type="paragraph" w:styleId="Prrafodelista">
    <w:name w:val="List Paragraph"/>
    <w:aliases w:val="Cita texto"/>
    <w:basedOn w:val="Normal"/>
    <w:link w:val="PrrafodelistaCar"/>
    <w:uiPriority w:val="34"/>
    <w:qFormat/>
    <w:rsid w:val="00F63847"/>
    <w:pPr>
      <w:spacing w:after="0" w:line="360" w:lineRule="auto"/>
      <w:ind w:left="708" w:right="709" w:firstLine="706"/>
      <w:jc w:val="both"/>
    </w:pPr>
    <w:rPr>
      <w:rFonts w:ascii="Arial" w:eastAsia="Times New Roman" w:hAnsi="Arial" w:cs="Arial"/>
      <w:i/>
      <w:sz w:val="28"/>
      <w:szCs w:val="28"/>
      <w:lang w:val="es-MX" w:eastAsia="es-MX"/>
    </w:rPr>
  </w:style>
  <w:style w:type="character" w:customStyle="1" w:styleId="corte4fondoCarCar">
    <w:name w:val="corte4 fondo Car Car"/>
    <w:link w:val="corte4fondoCar"/>
    <w:locked/>
    <w:rsid w:val="00F63847"/>
    <w:rPr>
      <w:rFonts w:ascii="Arial" w:eastAsia="Times New Roman" w:hAnsi="Arial" w:cs="Times New Roman"/>
      <w:sz w:val="30"/>
      <w:szCs w:val="20"/>
      <w:lang w:val="es-ES_tradnl" w:eastAsia="es-MX"/>
    </w:rPr>
  </w:style>
  <w:style w:type="character" w:customStyle="1" w:styleId="PrrafodelistaCar">
    <w:name w:val="Párrafo de lista Car"/>
    <w:aliases w:val="Cita texto Car"/>
    <w:link w:val="Prrafodelista"/>
    <w:uiPriority w:val="99"/>
    <w:rsid w:val="00F63847"/>
    <w:rPr>
      <w:rFonts w:ascii="Arial" w:eastAsia="Times New Roman" w:hAnsi="Arial" w:cs="Arial"/>
      <w:i/>
      <w:sz w:val="28"/>
      <w:szCs w:val="28"/>
      <w:lang w:val="es-MX" w:eastAsia="es-MX"/>
    </w:rPr>
  </w:style>
  <w:style w:type="character" w:customStyle="1" w:styleId="corte5transcripcionCar1">
    <w:name w:val="corte5 transcripcion Car1"/>
    <w:link w:val="corte5transcripcion"/>
    <w:locked/>
    <w:rsid w:val="00F63847"/>
    <w:rPr>
      <w:rFonts w:ascii="Arial" w:hAnsi="Arial" w:cs="Arial"/>
      <w:b/>
      <w:bCs/>
      <w:i/>
      <w:iCs/>
      <w:sz w:val="30"/>
      <w:szCs w:val="30"/>
      <w:lang w:val="es-ES_tradnl"/>
    </w:rPr>
  </w:style>
  <w:style w:type="paragraph" w:customStyle="1" w:styleId="corte5transcripcion">
    <w:name w:val="corte5 transcripcion"/>
    <w:basedOn w:val="Normal"/>
    <w:link w:val="corte5transcripcionCar1"/>
    <w:qFormat/>
    <w:rsid w:val="00F63847"/>
    <w:pPr>
      <w:autoSpaceDE w:val="0"/>
      <w:autoSpaceDN w:val="0"/>
      <w:spacing w:after="0" w:line="360" w:lineRule="auto"/>
      <w:ind w:left="709" w:right="709"/>
      <w:jc w:val="both"/>
    </w:pPr>
    <w:rPr>
      <w:rFonts w:ascii="Arial" w:hAnsi="Arial" w:cs="Arial"/>
      <w:b/>
      <w:bCs/>
      <w:i/>
      <w:iCs/>
      <w:sz w:val="30"/>
      <w:szCs w:val="30"/>
      <w:lang w:val="es-ES_tradnl"/>
    </w:rPr>
  </w:style>
  <w:style w:type="paragraph" w:customStyle="1" w:styleId="TEXTONORMAL">
    <w:name w:val="TEXTO NORMAL"/>
    <w:basedOn w:val="Normal"/>
    <w:link w:val="TEXTONORMALCar"/>
    <w:rsid w:val="00F63847"/>
    <w:pPr>
      <w:spacing w:after="0" w:line="360" w:lineRule="auto"/>
      <w:ind w:firstLine="709"/>
      <w:jc w:val="both"/>
    </w:pPr>
    <w:rPr>
      <w:rFonts w:ascii="Arial" w:eastAsia="Times New Roman" w:hAnsi="Arial" w:cs="Times New Roman"/>
      <w:sz w:val="28"/>
      <w:szCs w:val="28"/>
      <w:lang w:val="es-MX" w:eastAsia="es-ES"/>
    </w:rPr>
  </w:style>
  <w:style w:type="character" w:customStyle="1" w:styleId="TEXTONORMALCar">
    <w:name w:val="TEXTO NORMAL Car"/>
    <w:link w:val="TEXTONORMAL"/>
    <w:locked/>
    <w:rsid w:val="00F63847"/>
    <w:rPr>
      <w:rFonts w:ascii="Arial" w:eastAsia="Times New Roman" w:hAnsi="Arial" w:cs="Times New Roman"/>
      <w:sz w:val="28"/>
      <w:szCs w:val="28"/>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54179">
      <w:bodyDiv w:val="1"/>
      <w:marLeft w:val="0"/>
      <w:marRight w:val="0"/>
      <w:marTop w:val="0"/>
      <w:marBottom w:val="0"/>
      <w:divBdr>
        <w:top w:val="none" w:sz="0" w:space="0" w:color="auto"/>
        <w:left w:val="none" w:sz="0" w:space="0" w:color="auto"/>
        <w:bottom w:val="none" w:sz="0" w:space="0" w:color="auto"/>
        <w:right w:val="none" w:sz="0" w:space="0" w:color="auto"/>
      </w:divBdr>
    </w:div>
    <w:div w:id="210046349">
      <w:bodyDiv w:val="1"/>
      <w:marLeft w:val="0"/>
      <w:marRight w:val="0"/>
      <w:marTop w:val="0"/>
      <w:marBottom w:val="0"/>
      <w:divBdr>
        <w:top w:val="none" w:sz="0" w:space="0" w:color="auto"/>
        <w:left w:val="none" w:sz="0" w:space="0" w:color="auto"/>
        <w:bottom w:val="none" w:sz="0" w:space="0" w:color="auto"/>
        <w:right w:val="none" w:sz="0" w:space="0" w:color="auto"/>
      </w:divBdr>
    </w:div>
    <w:div w:id="241840997">
      <w:bodyDiv w:val="1"/>
      <w:marLeft w:val="0"/>
      <w:marRight w:val="0"/>
      <w:marTop w:val="0"/>
      <w:marBottom w:val="0"/>
      <w:divBdr>
        <w:top w:val="none" w:sz="0" w:space="0" w:color="auto"/>
        <w:left w:val="none" w:sz="0" w:space="0" w:color="auto"/>
        <w:bottom w:val="none" w:sz="0" w:space="0" w:color="auto"/>
        <w:right w:val="none" w:sz="0" w:space="0" w:color="auto"/>
      </w:divBdr>
    </w:div>
    <w:div w:id="687145305">
      <w:bodyDiv w:val="1"/>
      <w:marLeft w:val="0"/>
      <w:marRight w:val="0"/>
      <w:marTop w:val="0"/>
      <w:marBottom w:val="0"/>
      <w:divBdr>
        <w:top w:val="none" w:sz="0" w:space="0" w:color="auto"/>
        <w:left w:val="none" w:sz="0" w:space="0" w:color="auto"/>
        <w:bottom w:val="none" w:sz="0" w:space="0" w:color="auto"/>
        <w:right w:val="none" w:sz="0" w:space="0" w:color="auto"/>
      </w:divBdr>
      <w:divsChild>
        <w:div w:id="1226987253">
          <w:marLeft w:val="0"/>
          <w:marRight w:val="0"/>
          <w:marTop w:val="0"/>
          <w:marBottom w:val="101"/>
          <w:divBdr>
            <w:top w:val="none" w:sz="0" w:space="0" w:color="auto"/>
            <w:left w:val="none" w:sz="0" w:space="0" w:color="auto"/>
            <w:bottom w:val="none" w:sz="0" w:space="0" w:color="auto"/>
            <w:right w:val="none" w:sz="0" w:space="0" w:color="auto"/>
          </w:divBdr>
        </w:div>
        <w:div w:id="653024704">
          <w:marLeft w:val="0"/>
          <w:marRight w:val="0"/>
          <w:marTop w:val="0"/>
          <w:marBottom w:val="101"/>
          <w:divBdr>
            <w:top w:val="none" w:sz="0" w:space="0" w:color="auto"/>
            <w:left w:val="none" w:sz="0" w:space="0" w:color="auto"/>
            <w:bottom w:val="none" w:sz="0" w:space="0" w:color="auto"/>
            <w:right w:val="none" w:sz="0" w:space="0" w:color="auto"/>
          </w:divBdr>
        </w:div>
      </w:divsChild>
    </w:div>
    <w:div w:id="908151398">
      <w:bodyDiv w:val="1"/>
      <w:marLeft w:val="0"/>
      <w:marRight w:val="0"/>
      <w:marTop w:val="0"/>
      <w:marBottom w:val="0"/>
      <w:divBdr>
        <w:top w:val="none" w:sz="0" w:space="0" w:color="auto"/>
        <w:left w:val="none" w:sz="0" w:space="0" w:color="auto"/>
        <w:bottom w:val="none" w:sz="0" w:space="0" w:color="auto"/>
        <w:right w:val="none" w:sz="0" w:space="0" w:color="auto"/>
      </w:divBdr>
      <w:divsChild>
        <w:div w:id="972709603">
          <w:marLeft w:val="720"/>
          <w:marRight w:val="0"/>
          <w:marTop w:val="0"/>
          <w:marBottom w:val="101"/>
          <w:divBdr>
            <w:top w:val="none" w:sz="0" w:space="0" w:color="auto"/>
            <w:left w:val="none" w:sz="0" w:space="0" w:color="auto"/>
            <w:bottom w:val="none" w:sz="0" w:space="0" w:color="auto"/>
            <w:right w:val="none" w:sz="0" w:space="0" w:color="auto"/>
          </w:divBdr>
        </w:div>
        <w:div w:id="1638224476">
          <w:marLeft w:val="720"/>
          <w:marRight w:val="0"/>
          <w:marTop w:val="0"/>
          <w:marBottom w:val="101"/>
          <w:divBdr>
            <w:top w:val="none" w:sz="0" w:space="0" w:color="auto"/>
            <w:left w:val="none" w:sz="0" w:space="0" w:color="auto"/>
            <w:bottom w:val="none" w:sz="0" w:space="0" w:color="auto"/>
            <w:right w:val="none" w:sz="0" w:space="0" w:color="auto"/>
          </w:divBdr>
        </w:div>
      </w:divsChild>
    </w:div>
    <w:div w:id="995231042">
      <w:bodyDiv w:val="1"/>
      <w:marLeft w:val="0"/>
      <w:marRight w:val="0"/>
      <w:marTop w:val="0"/>
      <w:marBottom w:val="0"/>
      <w:divBdr>
        <w:top w:val="none" w:sz="0" w:space="0" w:color="auto"/>
        <w:left w:val="none" w:sz="0" w:space="0" w:color="auto"/>
        <w:bottom w:val="none" w:sz="0" w:space="0" w:color="auto"/>
        <w:right w:val="none" w:sz="0" w:space="0" w:color="auto"/>
      </w:divBdr>
      <w:divsChild>
        <w:div w:id="1854302387">
          <w:marLeft w:val="45"/>
          <w:marRight w:val="45"/>
          <w:marTop w:val="15"/>
          <w:marBottom w:val="0"/>
          <w:divBdr>
            <w:top w:val="none" w:sz="0" w:space="0" w:color="auto"/>
            <w:left w:val="none" w:sz="0" w:space="0" w:color="auto"/>
            <w:bottom w:val="none" w:sz="0" w:space="0" w:color="auto"/>
            <w:right w:val="none" w:sz="0" w:space="0" w:color="auto"/>
          </w:divBdr>
          <w:divsChild>
            <w:div w:id="123929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71935">
      <w:bodyDiv w:val="1"/>
      <w:marLeft w:val="0"/>
      <w:marRight w:val="0"/>
      <w:marTop w:val="0"/>
      <w:marBottom w:val="0"/>
      <w:divBdr>
        <w:top w:val="none" w:sz="0" w:space="0" w:color="auto"/>
        <w:left w:val="none" w:sz="0" w:space="0" w:color="auto"/>
        <w:bottom w:val="none" w:sz="0" w:space="0" w:color="auto"/>
        <w:right w:val="none" w:sz="0" w:space="0" w:color="auto"/>
      </w:divBdr>
    </w:div>
    <w:div w:id="1637875762">
      <w:bodyDiv w:val="1"/>
      <w:marLeft w:val="0"/>
      <w:marRight w:val="0"/>
      <w:marTop w:val="0"/>
      <w:marBottom w:val="0"/>
      <w:divBdr>
        <w:top w:val="none" w:sz="0" w:space="0" w:color="auto"/>
        <w:left w:val="none" w:sz="0" w:space="0" w:color="auto"/>
        <w:bottom w:val="none" w:sz="0" w:space="0" w:color="auto"/>
        <w:right w:val="none" w:sz="0" w:space="0" w:color="auto"/>
      </w:divBdr>
      <w:divsChild>
        <w:div w:id="1993099455">
          <w:marLeft w:val="720"/>
          <w:marRight w:val="0"/>
          <w:marTop w:val="0"/>
          <w:marBottom w:val="101"/>
          <w:divBdr>
            <w:top w:val="none" w:sz="0" w:space="0" w:color="auto"/>
            <w:left w:val="none" w:sz="0" w:space="0" w:color="auto"/>
            <w:bottom w:val="none" w:sz="0" w:space="0" w:color="auto"/>
            <w:right w:val="none" w:sz="0" w:space="0" w:color="auto"/>
          </w:divBdr>
        </w:div>
        <w:div w:id="1407000003">
          <w:marLeft w:val="720"/>
          <w:marRight w:val="0"/>
          <w:marTop w:val="0"/>
          <w:marBottom w:val="101"/>
          <w:divBdr>
            <w:top w:val="none" w:sz="0" w:space="0" w:color="auto"/>
            <w:left w:val="none" w:sz="0" w:space="0" w:color="auto"/>
            <w:bottom w:val="none" w:sz="0" w:space="0" w:color="auto"/>
            <w:right w:val="none" w:sz="0" w:space="0" w:color="auto"/>
          </w:divBdr>
        </w:div>
        <w:div w:id="1582717404">
          <w:marLeft w:val="72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489</Words>
  <Characters>2694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Carlos Alberto Zárate Quezada</cp:lastModifiedBy>
  <cp:revision>6</cp:revision>
  <dcterms:created xsi:type="dcterms:W3CDTF">2017-06-18T23:30:00Z</dcterms:created>
  <dcterms:modified xsi:type="dcterms:W3CDTF">2017-06-18T23:47:00Z</dcterms:modified>
</cp:coreProperties>
</file>