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97" w:rsidRPr="00256CC1" w:rsidRDefault="00105F97" w:rsidP="00105F97">
      <w:pPr>
        <w:autoSpaceDE w:val="0"/>
        <w:autoSpaceDN w:val="0"/>
        <w:adjustRightInd w:val="0"/>
        <w:spacing w:after="0" w:line="240" w:lineRule="auto"/>
        <w:rPr>
          <w:rFonts w:ascii="Arial" w:hAnsi="Arial" w:cs="Arial"/>
          <w:b/>
          <w:sz w:val="20"/>
          <w:szCs w:val="20"/>
        </w:rPr>
      </w:pPr>
      <w:r w:rsidRPr="00256CC1">
        <w:rPr>
          <w:rFonts w:ascii="Arial" w:hAnsi="Arial" w:cs="Arial"/>
          <w:b/>
          <w:sz w:val="20"/>
          <w:szCs w:val="20"/>
        </w:rPr>
        <w:t>CASE OF X AND OTHERS v. AUSTRIA</w:t>
      </w:r>
      <w:r w:rsidRPr="00256CC1">
        <w:rPr>
          <w:rStyle w:val="Refdenotaalpie"/>
          <w:rFonts w:ascii="Arial" w:hAnsi="Arial" w:cs="Arial"/>
          <w:b/>
          <w:sz w:val="20"/>
          <w:szCs w:val="20"/>
        </w:rPr>
        <w:footnoteReference w:id="1"/>
      </w:r>
    </w:p>
    <w:p w:rsidR="00105F97" w:rsidRPr="00256CC1" w:rsidRDefault="00105F97" w:rsidP="00105F97">
      <w:pPr>
        <w:autoSpaceDE w:val="0"/>
        <w:autoSpaceDN w:val="0"/>
        <w:adjustRightInd w:val="0"/>
        <w:spacing w:after="0" w:line="240" w:lineRule="auto"/>
        <w:rPr>
          <w:rFonts w:ascii="Arial" w:hAnsi="Arial" w:cs="Arial"/>
          <w:sz w:val="20"/>
          <w:szCs w:val="20"/>
        </w:rPr>
      </w:pPr>
      <w:r w:rsidRPr="00256CC1">
        <w:rPr>
          <w:rFonts w:ascii="Arial" w:hAnsi="Arial" w:cs="Arial"/>
          <w:sz w:val="20"/>
          <w:szCs w:val="20"/>
        </w:rPr>
        <w:t>(</w:t>
      </w:r>
      <w:proofErr w:type="spellStart"/>
      <w:r w:rsidRPr="00256CC1">
        <w:rPr>
          <w:rFonts w:ascii="Arial" w:hAnsi="Arial" w:cs="Arial"/>
          <w:sz w:val="20"/>
          <w:szCs w:val="20"/>
        </w:rPr>
        <w:t>Application</w:t>
      </w:r>
      <w:proofErr w:type="spellEnd"/>
      <w:r w:rsidRPr="00256CC1">
        <w:rPr>
          <w:rFonts w:ascii="Arial" w:hAnsi="Arial" w:cs="Arial"/>
          <w:sz w:val="20"/>
          <w:szCs w:val="20"/>
        </w:rPr>
        <w:t xml:space="preserve"> no. 19010/07)</w:t>
      </w:r>
    </w:p>
    <w:p w:rsidR="00105F97" w:rsidRPr="00256CC1" w:rsidRDefault="00105F97" w:rsidP="00827FB8">
      <w:pPr>
        <w:spacing w:after="0" w:line="240" w:lineRule="auto"/>
        <w:jc w:val="both"/>
        <w:rPr>
          <w:rFonts w:ascii="Arial" w:hAnsi="Arial" w:cs="Arial"/>
          <w:sz w:val="20"/>
          <w:szCs w:val="20"/>
        </w:rPr>
      </w:pPr>
      <w:r w:rsidRPr="00256CC1">
        <w:rPr>
          <w:rFonts w:ascii="Arial" w:hAnsi="Arial" w:cs="Arial"/>
          <w:sz w:val="20"/>
          <w:szCs w:val="20"/>
        </w:rPr>
        <w:t>EUROPEAN COURT OF HUMAN RIGHTS</w:t>
      </w:r>
    </w:p>
    <w:p w:rsidR="00827FB8" w:rsidRPr="00256CC1" w:rsidRDefault="002B1CDD" w:rsidP="002B1CDD">
      <w:pPr>
        <w:spacing w:after="0" w:line="240" w:lineRule="auto"/>
        <w:jc w:val="both"/>
        <w:rPr>
          <w:rFonts w:ascii="Arial" w:hAnsi="Arial" w:cs="Arial"/>
          <w:sz w:val="20"/>
          <w:szCs w:val="20"/>
        </w:rPr>
      </w:pPr>
      <w:r w:rsidRPr="00256CC1">
        <w:rPr>
          <w:rFonts w:ascii="Arial" w:hAnsi="Arial" w:cs="Arial"/>
          <w:sz w:val="20"/>
          <w:szCs w:val="20"/>
        </w:rPr>
        <w:t>Artículo 8 (Derecho al respeto de la vida privada y familiar. Relaciones homosexuales)</w:t>
      </w:r>
    </w:p>
    <w:p w:rsidR="00827FB8" w:rsidRPr="00256CC1" w:rsidRDefault="00827FB8" w:rsidP="00827FB8">
      <w:pPr>
        <w:spacing w:after="120" w:line="240" w:lineRule="auto"/>
        <w:ind w:right="120"/>
        <w:rPr>
          <w:rFonts w:ascii="Arial" w:hAnsi="Arial" w:cs="Arial"/>
          <w:sz w:val="20"/>
          <w:szCs w:val="20"/>
        </w:rPr>
      </w:pPr>
      <w:r w:rsidRPr="00256CC1">
        <w:rPr>
          <w:rFonts w:ascii="Arial" w:hAnsi="Arial" w:cs="Arial"/>
          <w:sz w:val="20"/>
          <w:szCs w:val="20"/>
        </w:rPr>
        <w:t>Sentencia de</w:t>
      </w:r>
      <w:r w:rsidR="00105F97" w:rsidRPr="00256CC1">
        <w:rPr>
          <w:rFonts w:ascii="Arial" w:hAnsi="Arial" w:cs="Arial"/>
          <w:sz w:val="20"/>
          <w:szCs w:val="20"/>
        </w:rPr>
        <w:t xml:space="preserve"> 19</w:t>
      </w:r>
      <w:r w:rsidRPr="00256CC1">
        <w:rPr>
          <w:rFonts w:ascii="Arial" w:hAnsi="Arial" w:cs="Arial"/>
          <w:sz w:val="20"/>
          <w:szCs w:val="20"/>
        </w:rPr>
        <w:t xml:space="preserve"> de </w:t>
      </w:r>
      <w:r w:rsidR="00105F97" w:rsidRPr="00256CC1">
        <w:rPr>
          <w:rFonts w:ascii="Arial" w:hAnsi="Arial" w:cs="Arial"/>
          <w:sz w:val="20"/>
          <w:szCs w:val="20"/>
        </w:rPr>
        <w:t>febrero de 2013</w:t>
      </w:r>
      <w:r w:rsidRPr="00256CC1">
        <w:rPr>
          <w:rFonts w:ascii="Arial" w:hAnsi="Arial" w:cs="Arial"/>
          <w:sz w:val="20"/>
          <w:szCs w:val="20"/>
        </w:rPr>
        <w:t xml:space="preserve"> </w:t>
      </w:r>
    </w:p>
    <w:p w:rsidR="002B1CDD" w:rsidRPr="00256CC1" w:rsidRDefault="002B1CDD" w:rsidP="002B1CDD">
      <w:pPr>
        <w:spacing w:after="0" w:line="240" w:lineRule="auto"/>
        <w:jc w:val="both"/>
        <w:rPr>
          <w:rFonts w:ascii="Arial" w:hAnsi="Arial" w:cs="Arial"/>
          <w:sz w:val="20"/>
          <w:szCs w:val="20"/>
        </w:rPr>
      </w:pPr>
    </w:p>
    <w:p w:rsidR="002B1CDD" w:rsidRPr="00256CC1" w:rsidRDefault="002B1CDD" w:rsidP="002B1CDD">
      <w:pPr>
        <w:spacing w:after="0" w:line="240" w:lineRule="auto"/>
        <w:jc w:val="both"/>
        <w:rPr>
          <w:rFonts w:ascii="Arial" w:hAnsi="Arial" w:cs="Arial"/>
          <w:b/>
          <w:sz w:val="20"/>
          <w:szCs w:val="20"/>
        </w:rPr>
      </w:pPr>
      <w:r w:rsidRPr="00256CC1">
        <w:rPr>
          <w:rFonts w:ascii="Arial" w:hAnsi="Arial" w:cs="Arial"/>
          <w:b/>
          <w:sz w:val="20"/>
          <w:szCs w:val="20"/>
        </w:rPr>
        <w:t xml:space="preserve">Antecedentes </w:t>
      </w:r>
    </w:p>
    <w:p w:rsidR="002B1CDD" w:rsidRPr="00256CC1" w:rsidRDefault="002B1CDD" w:rsidP="002B1CDD">
      <w:pPr>
        <w:spacing w:after="0" w:line="240" w:lineRule="auto"/>
        <w:jc w:val="both"/>
        <w:rPr>
          <w:rFonts w:ascii="Arial" w:hAnsi="Arial" w:cs="Arial"/>
          <w:b/>
          <w:sz w:val="20"/>
          <w:szCs w:val="20"/>
        </w:rPr>
      </w:pPr>
    </w:p>
    <w:p w:rsidR="00652445" w:rsidRPr="00256CC1" w:rsidRDefault="00045041" w:rsidP="002B1CDD">
      <w:pPr>
        <w:spacing w:after="0" w:line="240" w:lineRule="auto"/>
        <w:jc w:val="both"/>
        <w:rPr>
          <w:rStyle w:val="notranslate"/>
          <w:rFonts w:ascii="Arial" w:hAnsi="Arial" w:cs="Arial"/>
          <w:sz w:val="20"/>
          <w:szCs w:val="20"/>
        </w:rPr>
      </w:pPr>
      <w:r w:rsidRPr="00256CC1">
        <w:rPr>
          <w:rStyle w:val="notranslate"/>
          <w:rFonts w:ascii="Arial" w:hAnsi="Arial" w:cs="Arial"/>
          <w:sz w:val="20"/>
          <w:szCs w:val="20"/>
        </w:rPr>
        <w:t>Se trata de una pareja de mujeres en la que una de ellas trata de adoptar al hijo engendrado por la otra, con el cual conviven y del que se ocupan conjunta</w:t>
      </w:r>
      <w:r w:rsidRPr="00256CC1">
        <w:rPr>
          <w:rStyle w:val="notranslate"/>
          <w:rFonts w:ascii="Arial" w:hAnsi="Arial" w:cs="Arial"/>
          <w:sz w:val="20"/>
          <w:szCs w:val="20"/>
        </w:rPr>
        <w:softHyphen/>
        <w:t>mente. El Tribunal competente se opuso, invocando el art. 182(2) CC, que dis</w:t>
      </w:r>
      <w:r w:rsidRPr="00256CC1">
        <w:rPr>
          <w:rStyle w:val="notranslate"/>
          <w:rFonts w:ascii="Arial" w:hAnsi="Arial" w:cs="Arial"/>
          <w:sz w:val="20"/>
          <w:szCs w:val="20"/>
        </w:rPr>
        <w:softHyphen/>
        <w:t>pone que en los casos de adopción individual se rompe el vínculo jurídico con el progenitor biológico del mismo sexo que el adoptante, persistiendo con el de distinto.</w:t>
      </w:r>
    </w:p>
    <w:p w:rsidR="002B1CDD" w:rsidRPr="00256CC1" w:rsidRDefault="002B1CDD" w:rsidP="002B1CDD">
      <w:pPr>
        <w:spacing w:after="0" w:line="240" w:lineRule="auto"/>
        <w:jc w:val="both"/>
        <w:rPr>
          <w:rFonts w:ascii="Arial" w:hAnsi="Arial" w:cs="Arial"/>
          <w:b/>
          <w:sz w:val="20"/>
          <w:szCs w:val="20"/>
        </w:rPr>
      </w:pPr>
    </w:p>
    <w:p w:rsidR="002B1CDD" w:rsidRPr="00256CC1" w:rsidRDefault="002B1CDD" w:rsidP="002B1CDD">
      <w:pPr>
        <w:spacing w:after="0" w:line="240" w:lineRule="auto"/>
        <w:jc w:val="both"/>
        <w:rPr>
          <w:rFonts w:ascii="Arial" w:hAnsi="Arial" w:cs="Arial"/>
          <w:b/>
          <w:sz w:val="20"/>
          <w:szCs w:val="20"/>
        </w:rPr>
      </w:pPr>
      <w:r w:rsidRPr="00256CC1">
        <w:rPr>
          <w:rFonts w:ascii="Arial" w:hAnsi="Arial" w:cs="Arial"/>
          <w:b/>
          <w:sz w:val="20"/>
          <w:szCs w:val="20"/>
        </w:rPr>
        <w:t>Sentencia</w:t>
      </w:r>
    </w:p>
    <w:p w:rsidR="002B1CDD" w:rsidRPr="00256CC1" w:rsidRDefault="002B1CDD" w:rsidP="002B1CDD">
      <w:pPr>
        <w:spacing w:after="0" w:line="240" w:lineRule="auto"/>
        <w:jc w:val="both"/>
        <w:rPr>
          <w:rFonts w:ascii="Arial" w:hAnsi="Arial" w:cs="Arial"/>
          <w:sz w:val="20"/>
          <w:szCs w:val="20"/>
        </w:rPr>
      </w:pPr>
    </w:p>
    <w:p w:rsidR="00045041" w:rsidRPr="00256CC1" w:rsidRDefault="00045041" w:rsidP="00045041">
      <w:pPr>
        <w:spacing w:after="0" w:line="240" w:lineRule="auto"/>
        <w:jc w:val="both"/>
        <w:rPr>
          <w:rStyle w:val="A1"/>
          <w:rFonts w:ascii="Arial" w:hAnsi="Arial" w:cs="Arial"/>
          <w:sz w:val="20"/>
          <w:szCs w:val="20"/>
        </w:rPr>
      </w:pPr>
      <w:r w:rsidRPr="00256CC1">
        <w:rPr>
          <w:rStyle w:val="A1"/>
          <w:rFonts w:ascii="Arial" w:hAnsi="Arial" w:cs="Arial"/>
          <w:sz w:val="20"/>
          <w:szCs w:val="20"/>
        </w:rPr>
        <w:t>El TEDH</w:t>
      </w:r>
      <w:r w:rsidRPr="00256CC1">
        <w:rPr>
          <w:rStyle w:val="A1"/>
          <w:rFonts w:ascii="Arial" w:hAnsi="Arial" w:cs="Arial"/>
          <w:sz w:val="20"/>
          <w:szCs w:val="20"/>
        </w:rPr>
        <w:t xml:space="preserve"> descarta la discri</w:t>
      </w:r>
      <w:r w:rsidRPr="00256CC1">
        <w:rPr>
          <w:rStyle w:val="A1"/>
          <w:rFonts w:ascii="Arial" w:hAnsi="Arial" w:cs="Arial"/>
          <w:sz w:val="20"/>
          <w:szCs w:val="20"/>
        </w:rPr>
        <w:softHyphen/>
        <w:t>minación en relación con los matrimonios al no considerar su situación compara</w:t>
      </w:r>
      <w:r w:rsidRPr="00256CC1">
        <w:rPr>
          <w:rStyle w:val="A1"/>
          <w:rFonts w:ascii="Arial" w:hAnsi="Arial" w:cs="Arial"/>
          <w:sz w:val="20"/>
          <w:szCs w:val="20"/>
        </w:rPr>
        <w:softHyphen/>
        <w:t>ble. Sí es comparable con la de una pareja heterosexual no casada en la que uno de sus miembros tenga la intención de adoptar al hijo del otro. Según el ordena</w:t>
      </w:r>
      <w:r w:rsidRPr="00256CC1">
        <w:rPr>
          <w:rStyle w:val="A1"/>
          <w:rFonts w:ascii="Arial" w:hAnsi="Arial" w:cs="Arial"/>
          <w:sz w:val="20"/>
          <w:szCs w:val="20"/>
        </w:rPr>
        <w:softHyphen/>
        <w:t xml:space="preserve">miento austriaco, es posible la adopción </w:t>
      </w:r>
      <w:proofErr w:type="spellStart"/>
      <w:r w:rsidRPr="00256CC1">
        <w:rPr>
          <w:rStyle w:val="A1"/>
          <w:rFonts w:ascii="Arial" w:hAnsi="Arial" w:cs="Arial"/>
          <w:sz w:val="20"/>
          <w:szCs w:val="20"/>
        </w:rPr>
        <w:t>coparental</w:t>
      </w:r>
      <w:proofErr w:type="spellEnd"/>
      <w:r w:rsidRPr="00256CC1">
        <w:rPr>
          <w:rStyle w:val="A1"/>
          <w:rFonts w:ascii="Arial" w:hAnsi="Arial" w:cs="Arial"/>
          <w:sz w:val="20"/>
          <w:szCs w:val="20"/>
        </w:rPr>
        <w:t xml:space="preserve"> en el seno de una pareja hete</w:t>
      </w:r>
      <w:r w:rsidRPr="00256CC1">
        <w:rPr>
          <w:rStyle w:val="A1"/>
          <w:rFonts w:ascii="Arial" w:hAnsi="Arial" w:cs="Arial"/>
          <w:sz w:val="20"/>
          <w:szCs w:val="20"/>
        </w:rPr>
        <w:softHyphen/>
        <w:t>rosexual sin que se rompa el vínculo jurídico entre el hijo y el progenitor bioló</w:t>
      </w:r>
      <w:r w:rsidRPr="00256CC1">
        <w:rPr>
          <w:rStyle w:val="A1"/>
          <w:rFonts w:ascii="Arial" w:hAnsi="Arial" w:cs="Arial"/>
          <w:sz w:val="20"/>
          <w:szCs w:val="20"/>
        </w:rPr>
        <w:softHyphen/>
        <w:t>gico, lo cual es imposible para las parejas homosexuales, teniendo en cuenta el</w:t>
      </w:r>
      <w:r w:rsidRPr="00256CC1">
        <w:rPr>
          <w:rStyle w:val="A1"/>
          <w:rFonts w:ascii="Arial" w:hAnsi="Arial" w:cs="Arial"/>
          <w:sz w:val="20"/>
          <w:szCs w:val="20"/>
        </w:rPr>
        <w:t xml:space="preserve"> </w:t>
      </w:r>
      <w:r w:rsidRPr="00256CC1">
        <w:rPr>
          <w:rStyle w:val="A1"/>
          <w:rFonts w:ascii="Arial" w:hAnsi="Arial" w:cs="Arial"/>
          <w:sz w:val="20"/>
          <w:szCs w:val="20"/>
        </w:rPr>
        <w:t>citado art. 182(2) CC y el art. 8(4) de la Ley de Parejas Registradas —solamente para parejas del mismo sexo—, que establece que uno de los miembros de la pareja no puede adoptar al hijo del otro. De todo ello deduce el TEDH una dife</w:t>
      </w:r>
      <w:r w:rsidRPr="00256CC1">
        <w:rPr>
          <w:rStyle w:val="A1"/>
          <w:rFonts w:ascii="Arial" w:hAnsi="Arial" w:cs="Arial"/>
          <w:sz w:val="20"/>
          <w:szCs w:val="20"/>
        </w:rPr>
        <w:softHyphen/>
        <w:t>rencia de trato f</w:t>
      </w:r>
      <w:r w:rsidRPr="00256CC1">
        <w:rPr>
          <w:rStyle w:val="A1"/>
          <w:rFonts w:ascii="Arial" w:hAnsi="Arial" w:cs="Arial"/>
          <w:sz w:val="20"/>
          <w:szCs w:val="20"/>
        </w:rPr>
        <w:t xml:space="preserve">undada en la orientación sexual. </w:t>
      </w:r>
      <w:r w:rsidRPr="00256CC1">
        <w:rPr>
          <w:rStyle w:val="A1"/>
          <w:rFonts w:ascii="Arial" w:hAnsi="Arial" w:cs="Arial"/>
          <w:sz w:val="20"/>
          <w:szCs w:val="20"/>
        </w:rPr>
        <w:t>Los fines de la medida —preservar la «familia tradicional»</w:t>
      </w:r>
      <w:r w:rsidRPr="00256CC1">
        <w:rPr>
          <w:rStyle w:val="A3"/>
          <w:rFonts w:ascii="Arial" w:hAnsi="Arial" w:cs="Arial"/>
          <w:sz w:val="20"/>
          <w:szCs w:val="20"/>
        </w:rPr>
        <w:t xml:space="preserve"> </w:t>
      </w:r>
      <w:r w:rsidRPr="00256CC1">
        <w:rPr>
          <w:rStyle w:val="A1"/>
          <w:rFonts w:ascii="Arial" w:hAnsi="Arial" w:cs="Arial"/>
          <w:sz w:val="20"/>
          <w:szCs w:val="20"/>
        </w:rPr>
        <w:t>y el interés del menor— los considera legítimos, pero aprecia «serias dudas» en lo relativo a la propor</w:t>
      </w:r>
      <w:r w:rsidRPr="00256CC1">
        <w:rPr>
          <w:rStyle w:val="A1"/>
          <w:rFonts w:ascii="Arial" w:hAnsi="Arial" w:cs="Arial"/>
          <w:sz w:val="20"/>
          <w:szCs w:val="20"/>
        </w:rPr>
        <w:softHyphen/>
        <w:t>cionalidad, teniendo en cuenta la existencia de la familia de hecho, la importancia</w:t>
      </w:r>
      <w:r w:rsidRPr="00256CC1">
        <w:rPr>
          <w:rStyle w:val="A1"/>
          <w:rFonts w:ascii="Arial" w:hAnsi="Arial" w:cs="Arial"/>
          <w:sz w:val="20"/>
          <w:szCs w:val="20"/>
        </w:rPr>
        <w:t xml:space="preserve"> </w:t>
      </w:r>
      <w:r w:rsidRPr="00256CC1">
        <w:rPr>
          <w:rStyle w:val="A1"/>
          <w:rFonts w:ascii="Arial" w:hAnsi="Arial" w:cs="Arial"/>
          <w:sz w:val="20"/>
          <w:szCs w:val="20"/>
        </w:rPr>
        <w:t>de su reconocimiento jurídico, la incapacidad del Gobierno de probar que sería perjudicial para un niño ser criado por una pareja homosexual o tener legalmen</w:t>
      </w:r>
      <w:r w:rsidRPr="00256CC1">
        <w:rPr>
          <w:rStyle w:val="A1"/>
          <w:rFonts w:ascii="Arial" w:hAnsi="Arial" w:cs="Arial"/>
          <w:sz w:val="20"/>
          <w:szCs w:val="20"/>
        </w:rPr>
        <w:softHyphen/>
        <w:t>te dos padres o dos madres y, sobre todo, el hecho de que el ordenamiento auto</w:t>
      </w:r>
      <w:r w:rsidRPr="00256CC1">
        <w:rPr>
          <w:rStyle w:val="A1"/>
          <w:rFonts w:ascii="Arial" w:hAnsi="Arial" w:cs="Arial"/>
          <w:sz w:val="20"/>
          <w:szCs w:val="20"/>
        </w:rPr>
        <w:softHyphen/>
        <w:t>rice la adopción por una sola persona y se refiera a la exigencia de consentimiento de su cónyuge o pareja registrada</w:t>
      </w:r>
      <w:r w:rsidRPr="00256CC1">
        <w:rPr>
          <w:rStyle w:val="A3"/>
          <w:rFonts w:ascii="Arial" w:hAnsi="Arial" w:cs="Arial"/>
          <w:sz w:val="20"/>
          <w:szCs w:val="20"/>
        </w:rPr>
        <w:t>68</w:t>
      </w:r>
      <w:r w:rsidRPr="00256CC1">
        <w:rPr>
          <w:rStyle w:val="A1"/>
          <w:rFonts w:ascii="Arial" w:hAnsi="Arial" w:cs="Arial"/>
          <w:sz w:val="20"/>
          <w:szCs w:val="20"/>
        </w:rPr>
        <w:t>. Además, el interés superior del menor debe</w:t>
      </w:r>
      <w:r w:rsidRPr="00256CC1">
        <w:rPr>
          <w:rStyle w:val="A1"/>
          <w:rFonts w:ascii="Arial" w:hAnsi="Arial" w:cs="Arial"/>
          <w:sz w:val="20"/>
          <w:szCs w:val="20"/>
        </w:rPr>
        <w:softHyphen/>
        <w:t>ría poder examinarse por los Tribunales caso por caso.</w:t>
      </w:r>
      <w:r w:rsidRPr="00256CC1">
        <w:rPr>
          <w:rStyle w:val="A1"/>
          <w:rFonts w:ascii="Arial" w:hAnsi="Arial" w:cs="Arial"/>
          <w:sz w:val="20"/>
          <w:szCs w:val="20"/>
        </w:rPr>
        <w:t xml:space="preserve"> </w:t>
      </w:r>
    </w:p>
    <w:p w:rsidR="00045041" w:rsidRPr="00256CC1" w:rsidRDefault="00045041" w:rsidP="00045041">
      <w:pPr>
        <w:spacing w:after="0" w:line="240" w:lineRule="auto"/>
        <w:jc w:val="both"/>
        <w:rPr>
          <w:rStyle w:val="A1"/>
          <w:rFonts w:ascii="Arial" w:hAnsi="Arial" w:cs="Arial"/>
          <w:sz w:val="20"/>
          <w:szCs w:val="20"/>
        </w:rPr>
      </w:pPr>
    </w:p>
    <w:p w:rsidR="00045041" w:rsidRPr="00256CC1" w:rsidRDefault="00045041" w:rsidP="00045041">
      <w:pPr>
        <w:spacing w:after="0" w:line="240" w:lineRule="auto"/>
        <w:jc w:val="both"/>
        <w:rPr>
          <w:rStyle w:val="A1"/>
          <w:rFonts w:ascii="Arial" w:hAnsi="Arial" w:cs="Arial"/>
          <w:sz w:val="20"/>
          <w:szCs w:val="20"/>
        </w:rPr>
      </w:pPr>
      <w:r w:rsidRPr="00256CC1">
        <w:rPr>
          <w:rFonts w:ascii="Arial" w:hAnsi="Arial" w:cs="Arial"/>
          <w:color w:val="000000"/>
          <w:sz w:val="20"/>
          <w:szCs w:val="20"/>
        </w:rPr>
        <w:t xml:space="preserve">El Tribunal recuerda que en el caso de que se alegue discriminación fundada en el sexo o en la orientación sexual, el margen de apreciación de los Estados es estrecho, aunque en general sea amplio en cuestiones en las que no hay consenso, como ocurre en lo relativo a la adopción </w:t>
      </w:r>
      <w:proofErr w:type="spellStart"/>
      <w:r w:rsidRPr="00256CC1">
        <w:rPr>
          <w:rFonts w:ascii="Arial" w:hAnsi="Arial" w:cs="Arial"/>
          <w:color w:val="000000"/>
          <w:sz w:val="20"/>
          <w:szCs w:val="20"/>
        </w:rPr>
        <w:t>coparental</w:t>
      </w:r>
      <w:proofErr w:type="spellEnd"/>
      <w:r w:rsidRPr="00256CC1">
        <w:rPr>
          <w:rFonts w:ascii="Arial" w:hAnsi="Arial" w:cs="Arial"/>
          <w:color w:val="000000"/>
          <w:sz w:val="20"/>
          <w:szCs w:val="20"/>
        </w:rPr>
        <w:t xml:space="preserve"> por parte de las parejas homosexuales –hasta el momento sólo prevista en seis Estados miembros–. Ade</w:t>
      </w:r>
      <w:r w:rsidRPr="00256CC1">
        <w:rPr>
          <w:rFonts w:ascii="Arial" w:hAnsi="Arial" w:cs="Arial"/>
          <w:color w:val="000000"/>
          <w:sz w:val="20"/>
          <w:szCs w:val="20"/>
        </w:rPr>
        <w:softHyphen/>
        <w:t>más, son escasas las ratificaciones al Convenio europeo en materia de adopción de menores</w:t>
      </w:r>
      <w:r w:rsidRPr="00256CC1">
        <w:rPr>
          <w:rStyle w:val="A3"/>
          <w:rFonts w:ascii="Arial" w:hAnsi="Arial" w:cs="Arial"/>
          <w:sz w:val="20"/>
          <w:szCs w:val="20"/>
        </w:rPr>
        <w:t>69</w:t>
      </w:r>
      <w:r w:rsidRPr="00256CC1">
        <w:rPr>
          <w:rFonts w:ascii="Arial" w:hAnsi="Arial" w:cs="Arial"/>
          <w:color w:val="000000"/>
          <w:sz w:val="20"/>
          <w:szCs w:val="20"/>
        </w:rPr>
        <w:t>, de 2008, que reconoce la libertad de los Estados para permitir la adopción por parte de las parejas homosexuales</w:t>
      </w:r>
      <w:r w:rsidRPr="00256CC1">
        <w:rPr>
          <w:rStyle w:val="A3"/>
          <w:rFonts w:ascii="Arial" w:hAnsi="Arial" w:cs="Arial"/>
          <w:sz w:val="20"/>
          <w:szCs w:val="20"/>
        </w:rPr>
        <w:t>70</w:t>
      </w:r>
      <w:r w:rsidRPr="00256CC1">
        <w:rPr>
          <w:rFonts w:ascii="Arial" w:hAnsi="Arial" w:cs="Arial"/>
          <w:color w:val="000000"/>
          <w:sz w:val="20"/>
          <w:szCs w:val="20"/>
        </w:rPr>
        <w:t>; no obstante, ello no implica, como indica el Tribunal, que sean libres de tratar de forma diferente a las pare</w:t>
      </w:r>
      <w:r w:rsidRPr="00256CC1">
        <w:rPr>
          <w:rFonts w:ascii="Arial" w:hAnsi="Arial" w:cs="Arial"/>
          <w:color w:val="000000"/>
          <w:sz w:val="20"/>
          <w:szCs w:val="20"/>
        </w:rPr>
        <w:softHyphen/>
        <w:t>jas estables heterosexuales y a las homosexuales</w:t>
      </w:r>
      <w:r w:rsidRPr="00256CC1">
        <w:rPr>
          <w:rStyle w:val="A3"/>
          <w:rFonts w:ascii="Arial" w:hAnsi="Arial" w:cs="Arial"/>
          <w:sz w:val="20"/>
          <w:szCs w:val="20"/>
        </w:rPr>
        <w:t>71</w:t>
      </w:r>
      <w:r w:rsidRPr="00256CC1">
        <w:rPr>
          <w:rFonts w:ascii="Arial" w:hAnsi="Arial" w:cs="Arial"/>
          <w:color w:val="000000"/>
          <w:sz w:val="20"/>
          <w:szCs w:val="20"/>
        </w:rPr>
        <w:t>. Teniendo en cuenta todo lo</w:t>
      </w:r>
      <w:r w:rsidRPr="00256CC1">
        <w:rPr>
          <w:rFonts w:ascii="Arial" w:hAnsi="Arial" w:cs="Arial"/>
          <w:color w:val="000000"/>
          <w:sz w:val="20"/>
          <w:szCs w:val="20"/>
        </w:rPr>
        <w:t xml:space="preserve"> </w:t>
      </w:r>
      <w:r w:rsidRPr="00256CC1">
        <w:rPr>
          <w:rStyle w:val="A1"/>
          <w:rFonts w:ascii="Arial" w:hAnsi="Arial" w:cs="Arial"/>
          <w:sz w:val="20"/>
          <w:szCs w:val="20"/>
        </w:rPr>
        <w:t xml:space="preserve">anterior, el TEDH estima que el Gobierno no aporta razones particularmente sólidas que den a entender que la exclusión de las parejas homosexuales de la adopción </w:t>
      </w:r>
      <w:proofErr w:type="spellStart"/>
      <w:r w:rsidRPr="00256CC1">
        <w:rPr>
          <w:rStyle w:val="A1"/>
          <w:rFonts w:ascii="Arial" w:hAnsi="Arial" w:cs="Arial"/>
          <w:sz w:val="20"/>
          <w:szCs w:val="20"/>
        </w:rPr>
        <w:t>coparental</w:t>
      </w:r>
      <w:proofErr w:type="spellEnd"/>
      <w:r w:rsidRPr="00256CC1">
        <w:rPr>
          <w:rStyle w:val="A1"/>
          <w:rFonts w:ascii="Arial" w:hAnsi="Arial" w:cs="Arial"/>
          <w:sz w:val="20"/>
          <w:szCs w:val="20"/>
        </w:rPr>
        <w:t xml:space="preserve"> abierta a las parejas heterosexuales no casadas sea necesaria para la preservación de la familia tradicional o la protección de los intereses del menor. Por tanto, declara, por diez votos contra siete, que ha habido violación del art. 14 CEDH combinado con el art. 8</w:t>
      </w:r>
      <w:r w:rsidRPr="00256CC1">
        <w:rPr>
          <w:rStyle w:val="A3"/>
          <w:rFonts w:ascii="Arial" w:hAnsi="Arial" w:cs="Arial"/>
          <w:sz w:val="20"/>
          <w:szCs w:val="20"/>
        </w:rPr>
        <w:t>.</w:t>
      </w:r>
    </w:p>
    <w:p w:rsidR="007251F6" w:rsidRPr="00256CC1" w:rsidRDefault="00652445" w:rsidP="00045041">
      <w:pPr>
        <w:spacing w:after="0" w:line="240" w:lineRule="auto"/>
        <w:jc w:val="both"/>
        <w:rPr>
          <w:rStyle w:val="notranslate"/>
          <w:rFonts w:ascii="Arial" w:hAnsi="Arial" w:cs="Arial"/>
          <w:sz w:val="20"/>
          <w:szCs w:val="20"/>
        </w:rPr>
      </w:pPr>
      <w:r w:rsidRPr="00256CC1">
        <w:rPr>
          <w:rStyle w:val="notranslate"/>
          <w:rFonts w:ascii="Arial" w:hAnsi="Arial" w:cs="Arial"/>
          <w:sz w:val="20"/>
          <w:szCs w:val="20"/>
        </w:rPr>
        <w:br/>
      </w:r>
    </w:p>
    <w:p w:rsidR="00AB24C6" w:rsidRDefault="00652445" w:rsidP="00256CC1">
      <w:pPr>
        <w:spacing w:after="0" w:line="240" w:lineRule="auto"/>
        <w:jc w:val="both"/>
      </w:pPr>
      <w:r w:rsidRPr="00256CC1">
        <w:rPr>
          <w:rStyle w:val="notranslate"/>
          <w:rFonts w:ascii="Arial" w:hAnsi="Arial" w:cs="Arial"/>
          <w:sz w:val="20"/>
          <w:szCs w:val="20"/>
        </w:rPr>
        <w:br/>
      </w:r>
      <w:bookmarkStart w:id="0" w:name="_GoBack"/>
      <w:bookmarkEnd w:id="0"/>
    </w:p>
    <w:sectPr w:rsidR="00AB24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19F" w:rsidRDefault="001E119F" w:rsidP="002B1CDD">
      <w:pPr>
        <w:spacing w:after="0" w:line="240" w:lineRule="auto"/>
      </w:pPr>
      <w:r>
        <w:separator/>
      </w:r>
    </w:p>
  </w:endnote>
  <w:endnote w:type="continuationSeparator" w:id="0">
    <w:p w:rsidR="001E119F" w:rsidRDefault="001E119F" w:rsidP="002B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19F" w:rsidRDefault="001E119F" w:rsidP="002B1CDD">
      <w:pPr>
        <w:spacing w:after="0" w:line="240" w:lineRule="auto"/>
      </w:pPr>
      <w:r>
        <w:separator/>
      </w:r>
    </w:p>
  </w:footnote>
  <w:footnote w:type="continuationSeparator" w:id="0">
    <w:p w:rsidR="001E119F" w:rsidRDefault="001E119F" w:rsidP="002B1CDD">
      <w:pPr>
        <w:spacing w:after="0" w:line="240" w:lineRule="auto"/>
      </w:pPr>
      <w:r>
        <w:continuationSeparator/>
      </w:r>
    </w:p>
  </w:footnote>
  <w:footnote w:id="1">
    <w:p w:rsidR="00105F97" w:rsidRDefault="00105F97">
      <w:pPr>
        <w:pStyle w:val="Textonotapie"/>
      </w:pPr>
      <w:r>
        <w:rPr>
          <w:rStyle w:val="Refdenotaalpie"/>
        </w:rPr>
        <w:footnoteRef/>
      </w:r>
      <w:r>
        <w:t xml:space="preserve"> Sentencia completa en: </w:t>
      </w:r>
      <w:r w:rsidRPr="00105F97">
        <w:t>https://fidh.org/IMG/pdf/xvaustria_ecthrjudgment_19feb2013_en_.pdf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DD"/>
    <w:rsid w:val="00045041"/>
    <w:rsid w:val="00105F97"/>
    <w:rsid w:val="001E119F"/>
    <w:rsid w:val="00256CC1"/>
    <w:rsid w:val="002B1CDD"/>
    <w:rsid w:val="00652445"/>
    <w:rsid w:val="007251F6"/>
    <w:rsid w:val="007F048E"/>
    <w:rsid w:val="00827FB8"/>
    <w:rsid w:val="00AB24C6"/>
    <w:rsid w:val="00B15345"/>
    <w:rsid w:val="00F442F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F9522-652C-4CC4-B87B-938CF261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D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B1CDD"/>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B1CD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B1CDD"/>
    <w:rPr>
      <w:sz w:val="20"/>
      <w:szCs w:val="20"/>
    </w:rPr>
  </w:style>
  <w:style w:type="character" w:styleId="Refdenotaalpie">
    <w:name w:val="footnote reference"/>
    <w:basedOn w:val="Fuentedeprrafopredeter"/>
    <w:uiPriority w:val="99"/>
    <w:unhideWhenUsed/>
    <w:rsid w:val="002B1CDD"/>
    <w:rPr>
      <w:vertAlign w:val="superscript"/>
    </w:rPr>
  </w:style>
  <w:style w:type="character" w:customStyle="1" w:styleId="notranslate">
    <w:name w:val="notranslate"/>
    <w:basedOn w:val="Fuentedeprrafopredeter"/>
    <w:rsid w:val="002B1CDD"/>
  </w:style>
  <w:style w:type="character" w:customStyle="1" w:styleId="A1">
    <w:name w:val="A1"/>
    <w:uiPriority w:val="99"/>
    <w:rsid w:val="00045041"/>
    <w:rPr>
      <w:rFonts w:cs="Garamond 3 LT Std"/>
      <w:color w:val="000000"/>
      <w:sz w:val="23"/>
      <w:szCs w:val="23"/>
    </w:rPr>
  </w:style>
  <w:style w:type="character" w:customStyle="1" w:styleId="A3">
    <w:name w:val="A3"/>
    <w:uiPriority w:val="99"/>
    <w:rsid w:val="00045041"/>
    <w:rPr>
      <w:rFonts w:cs="Garamond 3 LT St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47819">
      <w:bodyDiv w:val="1"/>
      <w:marLeft w:val="0"/>
      <w:marRight w:val="0"/>
      <w:marTop w:val="0"/>
      <w:marBottom w:val="0"/>
      <w:divBdr>
        <w:top w:val="none" w:sz="0" w:space="0" w:color="auto"/>
        <w:left w:val="none" w:sz="0" w:space="0" w:color="auto"/>
        <w:bottom w:val="none" w:sz="0" w:space="0" w:color="auto"/>
        <w:right w:val="none" w:sz="0" w:space="0" w:color="auto"/>
      </w:divBdr>
    </w:div>
    <w:div w:id="16864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2490-BF8C-4E13-8256-1BE00657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3</cp:revision>
  <dcterms:created xsi:type="dcterms:W3CDTF">2017-05-19T21:18:00Z</dcterms:created>
  <dcterms:modified xsi:type="dcterms:W3CDTF">2017-05-19T21:18:00Z</dcterms:modified>
</cp:coreProperties>
</file>