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06" w:rsidRPr="006829A9" w:rsidRDefault="00464D06" w:rsidP="00464D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24D1C60" wp14:editId="73466FFB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06" w:rsidRPr="00540613" w:rsidRDefault="00540613" w:rsidP="00464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540613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NORMAS QUE NO PREVÉN LA IDENTIDAD DE GENERO</w:t>
      </w:r>
      <w:r w:rsidR="00464D06" w:rsidRPr="00540613">
        <w:rPr>
          <w:rStyle w:val="Refdenotaalpie"/>
          <w:rFonts w:ascii="Arial" w:eastAsia="Times New Roman" w:hAnsi="Arial" w:cs="Arial"/>
          <w:color w:val="000000"/>
          <w:sz w:val="20"/>
          <w:szCs w:val="20"/>
          <w:lang w:eastAsia="es-BO"/>
        </w:rPr>
        <w:footnoteReference w:id="1"/>
      </w:r>
    </w:p>
    <w:p w:rsidR="00464D06" w:rsidRPr="00540613" w:rsidRDefault="00464D06" w:rsidP="00464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54061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Corte Constitucional de Colombia </w:t>
      </w:r>
    </w:p>
    <w:p w:rsidR="00FF735C" w:rsidRPr="00540613" w:rsidRDefault="00A979CE" w:rsidP="00464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54061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Sentencia C-257/16</w:t>
      </w:r>
    </w:p>
    <w:p w:rsidR="00464D06" w:rsidRPr="00540613" w:rsidRDefault="00464D06" w:rsidP="00464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54061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Fecha: </w:t>
      </w:r>
      <w:r w:rsidR="00A979CE" w:rsidRPr="0054061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18/05</w:t>
      </w:r>
      <w:r w:rsidR="00E67245" w:rsidRPr="0054061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/201</w:t>
      </w:r>
      <w:r w:rsidR="00A979CE" w:rsidRPr="0054061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6</w:t>
      </w:r>
    </w:p>
    <w:p w:rsidR="00EB5DC8" w:rsidRPr="00540613" w:rsidRDefault="00EB5DC8" w:rsidP="00464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</w:p>
    <w:p w:rsidR="00464D06" w:rsidRPr="00540613" w:rsidRDefault="00464D06" w:rsidP="00464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540613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Antecedentes</w:t>
      </w:r>
    </w:p>
    <w:p w:rsidR="00397415" w:rsidRPr="00540613" w:rsidRDefault="00397415" w:rsidP="00A979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0613">
        <w:rPr>
          <w:rFonts w:ascii="Arial" w:hAnsi="Arial" w:cs="Arial"/>
          <w:sz w:val="20"/>
          <w:szCs w:val="20"/>
        </w:rPr>
        <w:t xml:space="preserve">A juicio del accionante, los preceptos demandados vulneran los artículos 13, 16 y 93 de la Constitución Política, así como los artículos 1 y 5 de la Declaración Americana de los Derechos y Deberes del Hombre, los artículos 4, 5 y 24 de la Convención Americana sobre Derechos Humanos, y los artículos 1, 2, 3 y 11 de la Convención Interamericana contra Toda de Forma de Discriminación e Intolerancia. </w:t>
      </w:r>
    </w:p>
    <w:p w:rsidR="00397415" w:rsidRPr="00540613" w:rsidRDefault="00397415" w:rsidP="00A979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40613">
        <w:rPr>
          <w:rFonts w:ascii="Arial" w:hAnsi="Arial" w:cs="Arial"/>
          <w:sz w:val="20"/>
          <w:szCs w:val="20"/>
        </w:rPr>
        <w:t xml:space="preserve">Según el actor, la transgresión anterior tiene un doble origen: (i) en primer lugar, porque las normas señaladas no prevén la identidad de género como categoría autónoma en función de la cual se pueden estructurar los delitos de actos de discriminación y el de hostigamiento, o en función de la cual se pueden agravar los hechos punibles cuando a la conducta típica subyace un móvil discriminatorio; (ii) y en segundo lugar, porque las disposiciones impugnadas no precisan que la orientación sexual, en función de la cual se configuran los delitos de actos de discriminación y de hostigamiento y la circunstancia de mayor punibilidad, comprende tanto la orientación sexual real, como la percibida por el victimario. </w:t>
      </w:r>
    </w:p>
    <w:p w:rsidR="00464D06" w:rsidRPr="00540613" w:rsidRDefault="00464D06" w:rsidP="00BA6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540613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 xml:space="preserve">Sentencia </w:t>
      </w:r>
    </w:p>
    <w:p w:rsidR="00A979CE" w:rsidRPr="00A979CE" w:rsidRDefault="00A979CE" w:rsidP="00BA6D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A979CE">
        <w:rPr>
          <w:rFonts w:ascii="Arial" w:eastAsia="Times New Roman" w:hAnsi="Arial" w:cs="Arial"/>
          <w:b/>
          <w:bCs/>
          <w:sz w:val="20"/>
          <w:szCs w:val="20"/>
          <w:lang w:val="es-ES" w:eastAsia="es-BO"/>
        </w:rPr>
        <w:t xml:space="preserve">PRIMERO.- DECLARAR LA EXEQUIBILIDAD </w:t>
      </w:r>
      <w:r w:rsidRPr="00A979CE">
        <w:rPr>
          <w:rFonts w:ascii="Arial" w:eastAsia="Times New Roman" w:hAnsi="Arial" w:cs="Arial"/>
          <w:sz w:val="20"/>
          <w:szCs w:val="20"/>
          <w:lang w:val="es-ES" w:eastAsia="es-BO"/>
        </w:rPr>
        <w:t xml:space="preserve">del artículo 58.3 del Código Penal, en relación con el cargo por la falta de previsión de la categoría de identidad de género en el respectivo precepto legal. </w:t>
      </w:r>
    </w:p>
    <w:p w:rsidR="00A979CE" w:rsidRPr="00540613" w:rsidRDefault="00A979CE" w:rsidP="00BA6D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BO"/>
        </w:rPr>
      </w:pPr>
      <w:r w:rsidRPr="00A979CE">
        <w:rPr>
          <w:rFonts w:ascii="Arial" w:eastAsia="Times New Roman" w:hAnsi="Arial" w:cs="Arial"/>
          <w:b/>
          <w:bCs/>
          <w:sz w:val="20"/>
          <w:szCs w:val="20"/>
          <w:lang w:val="es-ES" w:eastAsia="es-BO"/>
        </w:rPr>
        <w:t xml:space="preserve">SEGUNDO.- DECLARAR LA EXEQUIBILILIDAD </w:t>
      </w:r>
      <w:r w:rsidRPr="00A979CE">
        <w:rPr>
          <w:rFonts w:ascii="Arial" w:eastAsia="Times New Roman" w:hAnsi="Arial" w:cs="Arial"/>
          <w:sz w:val="20"/>
          <w:szCs w:val="20"/>
          <w:lang w:val="es-ES" w:eastAsia="es-BO"/>
        </w:rPr>
        <w:t xml:space="preserve">de los artículos 58.3, 134A y 134B del Código Penal, en relación con el cargo por no haberse previsto que la sanción penal se extiende a los delitos realizados en razón de la orientación sexual real y meramente percibida por el victimario. </w:t>
      </w:r>
    </w:p>
    <w:p w:rsidR="00A979CE" w:rsidRPr="00A979CE" w:rsidRDefault="00A979CE" w:rsidP="00BA6D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540613">
        <w:rPr>
          <w:rFonts w:ascii="Arial" w:hAnsi="Arial" w:cs="Arial"/>
          <w:sz w:val="20"/>
          <w:szCs w:val="20"/>
        </w:rPr>
        <w:t xml:space="preserve">De acuerdo con el análisis anterior, la Corte resolvió: (i) Inhibirse de pronunciarse sobre la </w:t>
      </w:r>
      <w:proofErr w:type="spellStart"/>
      <w:r w:rsidRPr="00540613">
        <w:rPr>
          <w:rFonts w:ascii="Arial" w:hAnsi="Arial" w:cs="Arial"/>
          <w:sz w:val="20"/>
          <w:szCs w:val="20"/>
        </w:rPr>
        <w:t>exequibilidad</w:t>
      </w:r>
      <w:proofErr w:type="spellEnd"/>
      <w:r w:rsidRPr="00540613">
        <w:rPr>
          <w:rFonts w:ascii="Arial" w:hAnsi="Arial" w:cs="Arial"/>
          <w:sz w:val="20"/>
          <w:szCs w:val="20"/>
        </w:rPr>
        <w:t xml:space="preserve"> de los artículos 134A y 134B del Código Penal, en relación con el cargo, </w:t>
      </w:r>
      <w:r w:rsidRPr="00540613">
        <w:rPr>
          <w:rFonts w:ascii="Arial" w:hAnsi="Arial" w:cs="Arial"/>
          <w:sz w:val="20"/>
          <w:szCs w:val="20"/>
          <w:lang w:val="es-ES"/>
        </w:rPr>
        <w:t xml:space="preserve">por la presunta configuración de una </w:t>
      </w:r>
      <w:proofErr w:type="spellStart"/>
      <w:r w:rsidRPr="00540613">
        <w:rPr>
          <w:rFonts w:ascii="Arial" w:hAnsi="Arial" w:cs="Arial"/>
          <w:sz w:val="20"/>
          <w:szCs w:val="20"/>
          <w:lang w:val="es-ES"/>
        </w:rPr>
        <w:t>omisión</w:t>
      </w:r>
      <w:proofErr w:type="spellEnd"/>
      <w:r w:rsidRPr="00540613">
        <w:rPr>
          <w:rFonts w:ascii="Arial" w:hAnsi="Arial" w:cs="Arial"/>
          <w:sz w:val="20"/>
          <w:szCs w:val="20"/>
          <w:lang w:val="es-ES"/>
        </w:rPr>
        <w:t xml:space="preserve"> legislativa relativa, derivada de la falta de previsión de la categoría de identidad de género en los respectivos preceptos legales.; </w:t>
      </w:r>
      <w:r w:rsidRPr="00540613">
        <w:rPr>
          <w:rFonts w:ascii="Arial" w:hAnsi="Arial" w:cs="Arial"/>
          <w:b/>
          <w:bCs/>
          <w:sz w:val="20"/>
          <w:szCs w:val="20"/>
          <w:lang w:val="es-ES"/>
        </w:rPr>
        <w:t>(</w:t>
      </w:r>
      <w:r w:rsidRPr="00540613">
        <w:rPr>
          <w:rFonts w:ascii="Arial" w:hAnsi="Arial" w:cs="Arial"/>
          <w:sz w:val="20"/>
          <w:szCs w:val="20"/>
          <w:lang w:val="es-ES"/>
        </w:rPr>
        <w:t xml:space="preserve">ii) declarar la </w:t>
      </w:r>
      <w:proofErr w:type="spellStart"/>
      <w:r w:rsidRPr="00540613">
        <w:rPr>
          <w:rFonts w:ascii="Arial" w:hAnsi="Arial" w:cs="Arial"/>
          <w:sz w:val="20"/>
          <w:szCs w:val="20"/>
          <w:lang w:val="es-ES"/>
        </w:rPr>
        <w:t>exequibilidad</w:t>
      </w:r>
      <w:proofErr w:type="spellEnd"/>
      <w:r w:rsidRPr="00540613">
        <w:rPr>
          <w:rFonts w:ascii="Arial" w:hAnsi="Arial" w:cs="Arial"/>
          <w:sz w:val="20"/>
          <w:szCs w:val="20"/>
          <w:lang w:val="es-ES"/>
        </w:rPr>
        <w:t xml:space="preserve"> del artículo 58.3 del Código Penal, en relación con el cargo por la falta de previsión de la categoría de identidad de género en el respectivo precepto legal; (iii) declarar la </w:t>
      </w:r>
      <w:proofErr w:type="spellStart"/>
      <w:r w:rsidRPr="00540613">
        <w:rPr>
          <w:rFonts w:ascii="Arial" w:hAnsi="Arial" w:cs="Arial"/>
          <w:sz w:val="20"/>
          <w:szCs w:val="20"/>
          <w:lang w:val="es-ES"/>
        </w:rPr>
        <w:t>exequibilidad</w:t>
      </w:r>
      <w:proofErr w:type="spellEnd"/>
      <w:r w:rsidRPr="00540613">
        <w:rPr>
          <w:rFonts w:ascii="Arial" w:hAnsi="Arial" w:cs="Arial"/>
          <w:sz w:val="20"/>
          <w:szCs w:val="20"/>
          <w:lang w:val="es-ES"/>
        </w:rPr>
        <w:t xml:space="preserve"> de los artículos 58.3, 134A y 134B del Código Penal, en relación con el cargo por no haberse previsto que la sanción penal se extiende a los delitos realizados en razón de la orientación sexual real y meramente percibida por el victimario.</w:t>
      </w:r>
    </w:p>
    <w:p w:rsidR="00A979CE" w:rsidRPr="00A979CE" w:rsidRDefault="00A979CE" w:rsidP="00BA6DB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BO"/>
        </w:rPr>
        <w:t> </w:t>
      </w:r>
    </w:p>
    <w:p w:rsidR="000064B4" w:rsidRPr="000064B4" w:rsidRDefault="000064B4" w:rsidP="00BA6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bookmarkStart w:id="0" w:name="_GoBack"/>
      <w:bookmarkEnd w:id="0"/>
    </w:p>
    <w:sectPr w:rsidR="000064B4" w:rsidRPr="0000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0F" w:rsidRDefault="00E4590F" w:rsidP="00464D06">
      <w:pPr>
        <w:spacing w:after="0" w:line="240" w:lineRule="auto"/>
      </w:pPr>
      <w:r>
        <w:separator/>
      </w:r>
    </w:p>
  </w:endnote>
  <w:endnote w:type="continuationSeparator" w:id="0">
    <w:p w:rsidR="00E4590F" w:rsidRDefault="00E4590F" w:rsidP="004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0F" w:rsidRDefault="00E4590F" w:rsidP="00464D06">
      <w:pPr>
        <w:spacing w:after="0" w:line="240" w:lineRule="auto"/>
      </w:pPr>
      <w:r>
        <w:separator/>
      </w:r>
    </w:p>
  </w:footnote>
  <w:footnote w:type="continuationSeparator" w:id="0">
    <w:p w:rsidR="00E4590F" w:rsidRDefault="00E4590F" w:rsidP="00464D06">
      <w:pPr>
        <w:spacing w:after="0" w:line="240" w:lineRule="auto"/>
      </w:pPr>
      <w:r>
        <w:continuationSeparator/>
      </w:r>
    </w:p>
  </w:footnote>
  <w:footnote w:id="1">
    <w:p w:rsidR="00464D06" w:rsidRDefault="00464D06" w:rsidP="00464D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B5DC8">
        <w:t xml:space="preserve">Leer sentencia completa en: </w:t>
      </w:r>
      <w:r w:rsidR="00540613" w:rsidRPr="00540613">
        <w:t>http://www.corteconstitucional.gov.co/relatoria/2016/C-257-16.htm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06"/>
    <w:rsid w:val="000064B4"/>
    <w:rsid w:val="001A4D9E"/>
    <w:rsid w:val="00335A63"/>
    <w:rsid w:val="00397415"/>
    <w:rsid w:val="00464D06"/>
    <w:rsid w:val="00540613"/>
    <w:rsid w:val="00683406"/>
    <w:rsid w:val="007D64F9"/>
    <w:rsid w:val="00A979CE"/>
    <w:rsid w:val="00B07E8F"/>
    <w:rsid w:val="00BA6DBB"/>
    <w:rsid w:val="00E4590F"/>
    <w:rsid w:val="00E67245"/>
    <w:rsid w:val="00EB5DC8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343BCF-51B9-4195-B076-FFDABB2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4D06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64D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64D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64D0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Carlos Alberto Zárate Quezada</cp:lastModifiedBy>
  <cp:revision>3</cp:revision>
  <dcterms:created xsi:type="dcterms:W3CDTF">2017-06-02T20:25:00Z</dcterms:created>
  <dcterms:modified xsi:type="dcterms:W3CDTF">2017-06-27T02:57:00Z</dcterms:modified>
</cp:coreProperties>
</file>