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17" w:rsidRPr="00E74F60" w:rsidRDefault="00E07D17" w:rsidP="00E07D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r w:rsidRPr="00E07D17">
        <w:rPr>
          <w:rFonts w:ascii="Arial" w:hAnsi="Arial" w:cs="Arial"/>
          <w:b/>
          <w:sz w:val="20"/>
          <w:szCs w:val="20"/>
          <w:lang w:val="pt-BR"/>
        </w:rPr>
        <w:t>OLIARI E ALTRI C. ITALIA</w:t>
      </w:r>
      <w:proofErr w:type="gramStart"/>
      <w:r w:rsidRPr="00E07D17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  <w:proofErr w:type="gramEnd"/>
    </w:p>
    <w:bookmarkEnd w:id="0"/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2453C">
        <w:rPr>
          <w:rFonts w:ascii="Arial" w:hAnsi="Arial" w:cs="Arial"/>
          <w:sz w:val="20"/>
          <w:szCs w:val="20"/>
          <w:lang w:val="pt-BR"/>
        </w:rPr>
        <w:t>(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Ricorsi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nn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>. 18766/11 e 36030/11</w:t>
      </w:r>
      <w:proofErr w:type="gramStart"/>
      <w:r w:rsidRPr="0092453C"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2453C">
        <w:rPr>
          <w:rFonts w:ascii="Arial" w:hAnsi="Arial" w:cs="Arial"/>
          <w:sz w:val="20"/>
          <w:szCs w:val="20"/>
          <w:lang w:val="pt-BR"/>
        </w:rPr>
        <w:t>SENTENZASTRASBURGO</w:t>
      </w:r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2453C">
        <w:rPr>
          <w:rFonts w:ascii="Arial" w:hAnsi="Arial" w:cs="Arial"/>
          <w:sz w:val="20"/>
          <w:szCs w:val="20"/>
          <w:lang w:val="pt-BR"/>
        </w:rPr>
        <w:t xml:space="preserve">Sentencia 21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luglio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2015</w:t>
      </w:r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2453C">
        <w:rPr>
          <w:rFonts w:ascii="Arial" w:hAnsi="Arial" w:cs="Arial"/>
          <w:b/>
          <w:sz w:val="20"/>
          <w:szCs w:val="20"/>
          <w:lang w:val="pt-BR"/>
        </w:rPr>
        <w:t>Antecedentes</w:t>
      </w:r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2453C">
        <w:rPr>
          <w:rFonts w:ascii="Arial" w:hAnsi="Arial" w:cs="Arial"/>
          <w:sz w:val="20"/>
          <w:szCs w:val="20"/>
          <w:lang w:val="pt-BR"/>
        </w:rPr>
        <w:t xml:space="preserve">1.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All’origine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causa vi sono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due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ricorsi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nn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. 18766/11 e 36030/11)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proposti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contro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92453C">
        <w:rPr>
          <w:rFonts w:ascii="Arial" w:hAnsi="Arial" w:cs="Arial"/>
          <w:sz w:val="20"/>
          <w:szCs w:val="20"/>
          <w:lang w:val="pt-BR"/>
        </w:rPr>
        <w:t>la</w:t>
      </w:r>
      <w:proofErr w:type="spellEnd"/>
      <w:proofErr w:type="gram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Repubblica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italiana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i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quali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rispettivamente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in data 21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marzo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e 10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giugno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2011 sei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cittadini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italiani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, i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Sigg.ri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Enrico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Oliari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, A., Gian Mario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Felicetti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, Riccardo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Perelli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Cippo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, Roberto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Zaccheo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e Riccardo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Zappa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(“i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”)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hanno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adito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Corte in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virtù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dell’articolo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34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Convenzione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per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salvaguardia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dei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diritti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dell’uomo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libertà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fondamentali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>.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56984">
        <w:rPr>
          <w:rFonts w:ascii="Arial" w:hAnsi="Arial" w:cs="Arial"/>
          <w:sz w:val="20"/>
          <w:szCs w:val="20"/>
          <w:lang w:val="pt-BR"/>
        </w:rPr>
        <w:t xml:space="preserve">2. 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primi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due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stati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rappresentati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dall’avvocato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A. Schuster, </w:t>
      </w: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foro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Trento. 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rimanenti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stati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rappresentati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dagli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avvocati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M. D’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Amico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M. Clara e C.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Pitea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foro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Milano. Il Governo italiano (“</w:t>
      </w: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il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Governo”)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stato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rappresentato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suo agente,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Sig.ra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Ersiliagrazia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Spatafora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>.</w:t>
      </w:r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56984">
        <w:rPr>
          <w:rFonts w:ascii="Arial" w:hAnsi="Arial" w:cs="Arial"/>
          <w:sz w:val="20"/>
          <w:szCs w:val="20"/>
          <w:lang w:val="pt-BR"/>
        </w:rPr>
        <w:t xml:space="preserve">3. 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hanno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lamentato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legislazione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italiana non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permetteva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loro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sposarsi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contrarre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alcun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altro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tipo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unione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civile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ed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essi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erano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pertanto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discriminati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conseguenza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loro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orientamento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sessuale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Essi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hanno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citato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gli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articoli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8, 12 e 14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Convenzione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>.</w:t>
      </w:r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2453C">
        <w:rPr>
          <w:rFonts w:ascii="Arial" w:hAnsi="Arial" w:cs="Arial"/>
          <w:sz w:val="20"/>
          <w:szCs w:val="20"/>
          <w:lang w:val="pt-BR"/>
        </w:rPr>
        <w:t xml:space="preserve">4. In data </w:t>
      </w:r>
      <w:proofErr w:type="gramStart"/>
      <w:r w:rsidRPr="0092453C">
        <w:rPr>
          <w:rFonts w:ascii="Arial" w:hAnsi="Arial" w:cs="Arial"/>
          <w:sz w:val="20"/>
          <w:szCs w:val="20"/>
          <w:lang w:val="pt-BR"/>
        </w:rPr>
        <w:t>3</w:t>
      </w:r>
      <w:proofErr w:type="gram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dicembre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2013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Camera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ricorso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era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stato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assegnato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ha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deciso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comunicare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al Governo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doglianze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concernenti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l’articolo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8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considerato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singolarmente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e in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combinato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disposto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l’articolo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14. </w:t>
      </w:r>
      <w:proofErr w:type="gramStart"/>
      <w:r w:rsidRPr="0092453C">
        <w:rPr>
          <w:rFonts w:ascii="Arial" w:hAnsi="Arial" w:cs="Arial"/>
          <w:sz w:val="20"/>
          <w:szCs w:val="20"/>
          <w:lang w:val="pt-BR"/>
        </w:rPr>
        <w:t>Essa ha</w:t>
      </w:r>
      <w:proofErr w:type="gram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inoltre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deciso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riunire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i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ricorsi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>.</w:t>
      </w:r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2453C">
        <w:rPr>
          <w:rFonts w:ascii="Arial" w:hAnsi="Arial" w:cs="Arial"/>
          <w:sz w:val="20"/>
          <w:szCs w:val="20"/>
          <w:lang w:val="pt-BR"/>
        </w:rPr>
        <w:t xml:space="preserve">5. In data </w:t>
      </w:r>
      <w:proofErr w:type="gramStart"/>
      <w:r w:rsidRPr="0092453C">
        <w:rPr>
          <w:rFonts w:ascii="Arial" w:hAnsi="Arial" w:cs="Arial"/>
          <w:sz w:val="20"/>
          <w:szCs w:val="20"/>
          <w:lang w:val="pt-BR"/>
        </w:rPr>
        <w:t>7</w:t>
      </w:r>
      <w:proofErr w:type="gram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gennaio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2013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Vice-Presidente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Sezione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era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stata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assegnata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causa ha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deciso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concedere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ricorrente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l’anonimato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a norma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dell’articolo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47 § 3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Regolamento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Corte.</w:t>
      </w:r>
    </w:p>
    <w:p w:rsidR="00E07D17" w:rsidRPr="00D4761A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4761A">
        <w:rPr>
          <w:rFonts w:ascii="Arial" w:hAnsi="Arial" w:cs="Arial"/>
          <w:sz w:val="20"/>
          <w:szCs w:val="20"/>
          <w:lang w:val="pt-BR"/>
        </w:rPr>
        <w:t xml:space="preserve">6.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Osservazioni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scritte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pervenute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anche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FIDH,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Centro AIRE,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dall’ILGA</w:t>
      </w:r>
      <w:proofErr w:type="gramEnd"/>
      <w:r w:rsidRPr="00D4761A">
        <w:rPr>
          <w:rFonts w:ascii="Arial" w:hAnsi="Arial" w:cs="Arial"/>
          <w:sz w:val="20"/>
          <w:szCs w:val="20"/>
          <w:lang w:val="pt-BR"/>
        </w:rPr>
        <w:t>-Europe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dall’ECSOL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dall’UFTDU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l’UDU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congiuntamente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dall’Associazione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Radicale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Certi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Diritti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dall’ECLJ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(Centro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europeo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diritto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giustizia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),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Vice-Presidente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Camera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aveva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dato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permesso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intervenire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articolo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36 § 2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Convenzione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).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proofErr w:type="gram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Sig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. Pavel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Parfentev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per conto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sette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ONG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russe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la</w:t>
      </w:r>
      <w:proofErr w:type="spellEnd"/>
      <w:proofErr w:type="gram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Fondazione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Famiglia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 Demografia, Per i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diritti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familiari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Comitato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Genitori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città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Mosca,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Comitato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Genitori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città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San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Pietroburgo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Comitato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Genitori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città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Volgodonsk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Centro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culturale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genitoriale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dell’ente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beneficenza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regionale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“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Svetlitsa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”,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l’organizzazione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sociale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“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Peterburgskie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mnogodetki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”),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anche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tre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ONG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ucraine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Comitato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genitoriale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ucraino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Comitato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genitoriale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ortodosso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l’Organizzazione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sociale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sanitaria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nazionale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),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Vice-Presidente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Camera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aveva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permesso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intervenire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. Non sono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tuttavia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pervenute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osservazioni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Corte.</w:t>
      </w:r>
    </w:p>
    <w:p w:rsidR="00E07D17" w:rsidRPr="00D4761A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4761A">
        <w:rPr>
          <w:rFonts w:ascii="Arial" w:hAnsi="Arial" w:cs="Arial"/>
          <w:sz w:val="20"/>
          <w:szCs w:val="20"/>
          <w:lang w:val="pt-BR"/>
        </w:rPr>
        <w:t xml:space="preserve">7. Il Governo ha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eccepito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alle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osservazioni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presentate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FIDH,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Centro AIRE,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dall’ILGA</w:t>
      </w:r>
      <w:proofErr w:type="gramEnd"/>
      <w:r w:rsidRPr="00D4761A">
        <w:rPr>
          <w:rFonts w:ascii="Arial" w:hAnsi="Arial" w:cs="Arial"/>
          <w:sz w:val="20"/>
          <w:szCs w:val="20"/>
          <w:lang w:val="pt-BR"/>
        </w:rPr>
        <w:t>-Europe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dall’ECSOL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dall’UFTDU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dall’UDU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congiuntamente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in quanto esse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erano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pervenute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Corte dopo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scadenza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fissata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ovvero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27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marzo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2014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invece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26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marzo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2014. La Corte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osserva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proofErr w:type="gramEnd"/>
      <w:r w:rsidRPr="00D4761A">
        <w:rPr>
          <w:rFonts w:ascii="Arial" w:hAnsi="Arial" w:cs="Arial"/>
          <w:sz w:val="20"/>
          <w:szCs w:val="20"/>
          <w:lang w:val="pt-BR"/>
        </w:rPr>
        <w:t xml:space="preserve"> al momento pertinente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Vice-Presidente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Camera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non ha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deciso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rigettare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osservazioni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presentate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state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effettivamente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inviate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alle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parti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perché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commentassero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Avendo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tenuto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conto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proofErr w:type="gram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fatto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osservazioni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erano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state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anticipate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mediante e mail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ed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erano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pervenute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alla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Corte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alle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ore 2.00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27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marzo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2014,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copia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cartacea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pervenuta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successivamente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via fax in pari data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conteneva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scuse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nonché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spiegazione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ritardo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essa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rigetta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l’eccezione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Governo.</w:t>
      </w:r>
    </w:p>
    <w:p w:rsidR="00E07D17" w:rsidRPr="00D4761A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4761A">
        <w:rPr>
          <w:rFonts w:ascii="Arial" w:hAnsi="Arial" w:cs="Arial"/>
          <w:sz w:val="20"/>
          <w:szCs w:val="20"/>
          <w:lang w:val="pt-BR"/>
        </w:rPr>
        <w:t xml:space="preserve">8. I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proofErr w:type="gram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ricorso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n. 18766/11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hanno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chiesto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fosse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svolta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un’udienza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orale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. In data 30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giugno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2015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la</w:t>
      </w:r>
      <w:proofErr w:type="spellEnd"/>
      <w:proofErr w:type="gramEnd"/>
      <w:r w:rsidRPr="00D4761A">
        <w:rPr>
          <w:rFonts w:ascii="Arial" w:hAnsi="Arial" w:cs="Arial"/>
          <w:sz w:val="20"/>
          <w:szCs w:val="20"/>
          <w:lang w:val="pt-BR"/>
        </w:rPr>
        <w:t xml:space="preserve"> Corte ha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esaminato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tale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richiesta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 ha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deciso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, vista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documentazione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era in possesso, non era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necessaria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un’udienza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orale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E07D17" w:rsidRPr="00D4761A" w:rsidRDefault="00E07D17" w:rsidP="00E07D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4761A">
        <w:rPr>
          <w:rFonts w:ascii="Arial" w:hAnsi="Arial" w:cs="Arial"/>
          <w:b/>
          <w:sz w:val="20"/>
          <w:szCs w:val="20"/>
          <w:lang w:val="pt-BR"/>
        </w:rPr>
        <w:t xml:space="preserve">Sentencia </w:t>
      </w:r>
    </w:p>
    <w:p w:rsidR="00E07D17" w:rsidRPr="00D4761A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Dichiara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ricevibili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D4761A">
        <w:rPr>
          <w:rFonts w:ascii="Arial" w:hAnsi="Arial" w:cs="Arial"/>
          <w:sz w:val="20"/>
          <w:szCs w:val="20"/>
          <w:lang w:val="pt-BR"/>
        </w:rPr>
        <w:t>le</w:t>
      </w:r>
      <w:proofErr w:type="spellEnd"/>
      <w:proofErr w:type="gram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doglianze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ai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sensi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dell’articolo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8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considerato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singolarmente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dell’articolo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14 in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combinato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disposto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con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l’articolo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8, e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irricevibile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 xml:space="preserve"> resto dei </w:t>
      </w:r>
      <w:proofErr w:type="spellStart"/>
      <w:r w:rsidRPr="00D4761A">
        <w:rPr>
          <w:rFonts w:ascii="Arial" w:hAnsi="Arial" w:cs="Arial"/>
          <w:sz w:val="20"/>
          <w:szCs w:val="20"/>
          <w:lang w:val="pt-BR"/>
        </w:rPr>
        <w:t>ricorsi</w:t>
      </w:r>
      <w:proofErr w:type="spellEnd"/>
      <w:r w:rsidRPr="00D4761A">
        <w:rPr>
          <w:rFonts w:ascii="Arial" w:hAnsi="Arial" w:cs="Arial"/>
          <w:sz w:val="20"/>
          <w:szCs w:val="20"/>
          <w:lang w:val="pt-BR"/>
        </w:rPr>
        <w:t>;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56984">
        <w:rPr>
          <w:rFonts w:ascii="Arial" w:hAnsi="Arial" w:cs="Arial"/>
          <w:sz w:val="20"/>
          <w:szCs w:val="20"/>
        </w:rPr>
        <w:t>Ritiene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che vi </w:t>
      </w:r>
      <w:proofErr w:type="spellStart"/>
      <w:r w:rsidRPr="00456984">
        <w:rPr>
          <w:rFonts w:ascii="Arial" w:hAnsi="Arial" w:cs="Arial"/>
          <w:sz w:val="20"/>
          <w:szCs w:val="20"/>
        </w:rPr>
        <w:t>sia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stata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violazione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dell’articolo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456984">
        <w:rPr>
          <w:rFonts w:ascii="Arial" w:hAnsi="Arial" w:cs="Arial"/>
          <w:sz w:val="20"/>
          <w:szCs w:val="20"/>
        </w:rPr>
        <w:t>della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Convenzione</w:t>
      </w:r>
      <w:proofErr w:type="spellEnd"/>
      <w:r w:rsidRPr="00456984">
        <w:rPr>
          <w:rFonts w:ascii="Arial" w:hAnsi="Arial" w:cs="Arial"/>
          <w:sz w:val="20"/>
          <w:szCs w:val="20"/>
        </w:rPr>
        <w:t>;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56984">
        <w:rPr>
          <w:rFonts w:ascii="Arial" w:hAnsi="Arial" w:cs="Arial"/>
          <w:sz w:val="20"/>
          <w:szCs w:val="20"/>
        </w:rPr>
        <w:lastRenderedPageBreak/>
        <w:t>Ritiene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che non </w:t>
      </w:r>
      <w:proofErr w:type="spellStart"/>
      <w:r w:rsidRPr="00456984">
        <w:rPr>
          <w:rFonts w:ascii="Arial" w:hAnsi="Arial" w:cs="Arial"/>
          <w:sz w:val="20"/>
          <w:szCs w:val="20"/>
        </w:rPr>
        <w:t>sia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necessario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esaminare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56984">
        <w:rPr>
          <w:rFonts w:ascii="Arial" w:hAnsi="Arial" w:cs="Arial"/>
          <w:sz w:val="20"/>
          <w:szCs w:val="20"/>
        </w:rPr>
        <w:t>doglianza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ai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sensi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dell’articolo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14 in </w:t>
      </w:r>
      <w:proofErr w:type="spellStart"/>
      <w:r w:rsidRPr="00456984">
        <w:rPr>
          <w:rFonts w:ascii="Arial" w:hAnsi="Arial" w:cs="Arial"/>
          <w:sz w:val="20"/>
          <w:szCs w:val="20"/>
        </w:rPr>
        <w:t>combinato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disposto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456984">
        <w:rPr>
          <w:rFonts w:ascii="Arial" w:hAnsi="Arial" w:cs="Arial"/>
          <w:sz w:val="20"/>
          <w:szCs w:val="20"/>
        </w:rPr>
        <w:t>l’articolo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456984">
        <w:rPr>
          <w:rFonts w:ascii="Arial" w:hAnsi="Arial" w:cs="Arial"/>
          <w:sz w:val="20"/>
          <w:szCs w:val="20"/>
        </w:rPr>
        <w:t>della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Convenzione</w:t>
      </w:r>
      <w:proofErr w:type="spellEnd"/>
      <w:r w:rsidRPr="00456984">
        <w:rPr>
          <w:rFonts w:ascii="Arial" w:hAnsi="Arial" w:cs="Arial"/>
          <w:sz w:val="20"/>
          <w:szCs w:val="20"/>
        </w:rPr>
        <w:t>;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56984">
        <w:rPr>
          <w:rFonts w:ascii="Arial" w:hAnsi="Arial" w:cs="Arial"/>
          <w:sz w:val="20"/>
          <w:szCs w:val="20"/>
        </w:rPr>
        <w:t>Ritiene</w:t>
      </w:r>
      <w:proofErr w:type="spellEnd"/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6984">
        <w:rPr>
          <w:rFonts w:ascii="Arial" w:hAnsi="Arial" w:cs="Arial"/>
          <w:sz w:val="20"/>
          <w:szCs w:val="20"/>
        </w:rPr>
        <w:t>che</w:t>
      </w:r>
      <w:proofErr w:type="gramEnd"/>
      <w:r w:rsidRPr="00456984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456984">
        <w:rPr>
          <w:rFonts w:ascii="Arial" w:hAnsi="Arial" w:cs="Arial"/>
          <w:sz w:val="20"/>
          <w:szCs w:val="20"/>
        </w:rPr>
        <w:t>Stato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convenuto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debba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versare </w:t>
      </w:r>
      <w:proofErr w:type="spellStart"/>
      <w:r w:rsidRPr="00456984">
        <w:rPr>
          <w:rFonts w:ascii="Arial" w:hAnsi="Arial" w:cs="Arial"/>
          <w:sz w:val="20"/>
          <w:szCs w:val="20"/>
        </w:rPr>
        <w:t>ai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, entro </w:t>
      </w:r>
      <w:proofErr w:type="spellStart"/>
      <w:r w:rsidRPr="00456984">
        <w:rPr>
          <w:rFonts w:ascii="Arial" w:hAnsi="Arial" w:cs="Arial"/>
          <w:sz w:val="20"/>
          <w:szCs w:val="20"/>
        </w:rPr>
        <w:t>tre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mesi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56984">
        <w:rPr>
          <w:rFonts w:ascii="Arial" w:hAnsi="Arial" w:cs="Arial"/>
          <w:sz w:val="20"/>
          <w:szCs w:val="20"/>
        </w:rPr>
        <w:t>decorrere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dalla data in cui la </w:t>
      </w:r>
      <w:proofErr w:type="spellStart"/>
      <w:r w:rsidRPr="00456984">
        <w:rPr>
          <w:rFonts w:ascii="Arial" w:hAnsi="Arial" w:cs="Arial"/>
          <w:sz w:val="20"/>
          <w:szCs w:val="20"/>
        </w:rPr>
        <w:t>sentenza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diverrà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definitiva in </w:t>
      </w:r>
      <w:proofErr w:type="spellStart"/>
      <w:r w:rsidRPr="00456984">
        <w:rPr>
          <w:rFonts w:ascii="Arial" w:hAnsi="Arial" w:cs="Arial"/>
          <w:sz w:val="20"/>
          <w:szCs w:val="20"/>
        </w:rPr>
        <w:t>conformità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all’articolo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44 § 2 </w:t>
      </w:r>
      <w:proofErr w:type="spellStart"/>
      <w:r w:rsidRPr="00456984">
        <w:rPr>
          <w:rFonts w:ascii="Arial" w:hAnsi="Arial" w:cs="Arial"/>
          <w:sz w:val="20"/>
          <w:szCs w:val="20"/>
        </w:rPr>
        <w:t>della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Convenzione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, le </w:t>
      </w:r>
      <w:proofErr w:type="spellStart"/>
      <w:r w:rsidRPr="00456984">
        <w:rPr>
          <w:rFonts w:ascii="Arial" w:hAnsi="Arial" w:cs="Arial"/>
          <w:sz w:val="20"/>
          <w:szCs w:val="20"/>
        </w:rPr>
        <w:t>seguenti</w:t>
      </w:r>
      <w:proofErr w:type="spellEnd"/>
      <w:r w:rsidRPr="004569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</w:rPr>
        <w:t>somme</w:t>
      </w:r>
      <w:proofErr w:type="spellEnd"/>
      <w:r w:rsidRPr="00456984">
        <w:rPr>
          <w:rFonts w:ascii="Arial" w:hAnsi="Arial" w:cs="Arial"/>
          <w:sz w:val="20"/>
          <w:szCs w:val="20"/>
        </w:rPr>
        <w:t>: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56984">
        <w:rPr>
          <w:rFonts w:ascii="Arial" w:hAnsi="Arial" w:cs="Arial"/>
          <w:sz w:val="20"/>
          <w:szCs w:val="20"/>
          <w:lang w:val="pt-BR"/>
        </w:rPr>
        <w:t>EUR 5.000 (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cinquemila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euro)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ciascuno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l’importo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eventualmente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dovuto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titolo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imposta, per </w:t>
      </w: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il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danno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morale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>;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56984">
        <w:rPr>
          <w:rFonts w:ascii="Arial" w:hAnsi="Arial" w:cs="Arial"/>
          <w:sz w:val="20"/>
          <w:szCs w:val="20"/>
          <w:lang w:val="pt-BR"/>
        </w:rPr>
        <w:t>EUR 4.000 (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quattromila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euro),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congiuntamente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ai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ricorso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n. 18766/11,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l’importo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eventualmente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dovuto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dai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titolo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imposta, per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spese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>;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56984">
        <w:rPr>
          <w:rFonts w:ascii="Arial" w:hAnsi="Arial" w:cs="Arial"/>
          <w:sz w:val="20"/>
          <w:szCs w:val="20"/>
          <w:lang w:val="pt-BR"/>
        </w:rPr>
        <w:t>EUR 10.000 (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diecimila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euro),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congiuntamente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ai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del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ricorso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n. 36030/11,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l’importo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eventualmente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dovuto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dai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titolo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imposta, per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spese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da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versare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direttamente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sui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conti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bancari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dei loro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rappresentanti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>;</w:t>
      </w:r>
    </w:p>
    <w:p w:rsidR="00E07D17" w:rsidRPr="00456984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proofErr w:type="gramStart"/>
      <w:r w:rsidRPr="00456984">
        <w:rPr>
          <w:rFonts w:ascii="Arial" w:hAnsi="Arial" w:cs="Arial"/>
          <w:sz w:val="20"/>
          <w:szCs w:val="20"/>
          <w:lang w:val="pt-BR"/>
        </w:rPr>
        <w:t>che</w:t>
      </w:r>
      <w:proofErr w:type="spellEnd"/>
      <w:proofErr w:type="gramEnd"/>
      <w:r w:rsidRPr="00456984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decorrere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scadenza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detto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termine e fino al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versamento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tali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importi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dovranno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essere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maggiorati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interesse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semplice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tasso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equivalente 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quello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delle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operazioni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rifinanziamento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marginale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della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Banca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centrale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europea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applicabile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durante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quel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periodo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maggiorato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tre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punti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456984">
        <w:rPr>
          <w:rFonts w:ascii="Arial" w:hAnsi="Arial" w:cs="Arial"/>
          <w:sz w:val="20"/>
          <w:szCs w:val="20"/>
          <w:lang w:val="pt-BR"/>
        </w:rPr>
        <w:t>percentuali</w:t>
      </w:r>
      <w:proofErr w:type="spellEnd"/>
      <w:r w:rsidRPr="00456984">
        <w:rPr>
          <w:rFonts w:ascii="Arial" w:hAnsi="Arial" w:cs="Arial"/>
          <w:sz w:val="20"/>
          <w:szCs w:val="20"/>
          <w:lang w:val="pt-BR"/>
        </w:rPr>
        <w:t>;</w:t>
      </w:r>
    </w:p>
    <w:p w:rsidR="00E07D17" w:rsidRPr="0092453C" w:rsidRDefault="00E07D17" w:rsidP="00E07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Rigetta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92453C">
        <w:rPr>
          <w:rFonts w:ascii="Arial" w:hAnsi="Arial" w:cs="Arial"/>
          <w:sz w:val="20"/>
          <w:szCs w:val="20"/>
          <w:lang w:val="pt-BR"/>
        </w:rPr>
        <w:t>la</w:t>
      </w:r>
      <w:proofErr w:type="spellEnd"/>
      <w:proofErr w:type="gram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domanda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equa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soddisfazione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dei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ricorrenti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per </w:t>
      </w:r>
      <w:proofErr w:type="spellStart"/>
      <w:r w:rsidRPr="0092453C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92453C">
        <w:rPr>
          <w:rFonts w:ascii="Arial" w:hAnsi="Arial" w:cs="Arial"/>
          <w:sz w:val="20"/>
          <w:szCs w:val="20"/>
          <w:lang w:val="pt-BR"/>
        </w:rPr>
        <w:t xml:space="preserve"> resto.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8F" w:rsidRDefault="0045208F" w:rsidP="00E07D17">
      <w:pPr>
        <w:spacing w:after="0" w:line="240" w:lineRule="auto"/>
      </w:pPr>
      <w:r>
        <w:separator/>
      </w:r>
    </w:p>
  </w:endnote>
  <w:endnote w:type="continuationSeparator" w:id="0">
    <w:p w:rsidR="0045208F" w:rsidRDefault="0045208F" w:rsidP="00E0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8F" w:rsidRDefault="0045208F" w:rsidP="00E07D17">
      <w:pPr>
        <w:spacing w:after="0" w:line="240" w:lineRule="auto"/>
      </w:pPr>
      <w:r>
        <w:separator/>
      </w:r>
    </w:p>
  </w:footnote>
  <w:footnote w:type="continuationSeparator" w:id="0">
    <w:p w:rsidR="0045208F" w:rsidRDefault="0045208F" w:rsidP="00E07D17">
      <w:pPr>
        <w:spacing w:after="0" w:line="240" w:lineRule="auto"/>
      </w:pPr>
      <w:r>
        <w:continuationSeparator/>
      </w:r>
    </w:p>
  </w:footnote>
  <w:footnote w:id="1">
    <w:p w:rsidR="00E07D17" w:rsidRDefault="00E07D17" w:rsidP="00E07D17">
      <w:pPr>
        <w:pStyle w:val="Textonotapie"/>
      </w:pPr>
      <w:r>
        <w:rPr>
          <w:rStyle w:val="Refdenotaalpie"/>
        </w:rPr>
        <w:footnoteRef/>
      </w:r>
      <w:r>
        <w:t xml:space="preserve"> Anexo JU/HUDOC/08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anchor="{&quot;languageisocode&quot;:[&quot;ITA&quot;],&quot;appno&quot;:[&quot;18766/11&quot;,&quot;36030/11&quot;],&quot;documentcollectionid2&quot;:[&quot;CHAMBER&quot;],&quot;itemid&quot;:[&quot;001-157810&quot;]}" w:history="1">
        <w:r w:rsidRPr="002876C7">
          <w:rPr>
            <w:rStyle w:val="Hipervnculo"/>
          </w:rPr>
          <w:t>http://hudoc.echr.coe.int/eng?i=001-156265&amp;sa=X&amp;ved=0CDUQ9QEwD2oVChMIwICr1bn2xgIVI75yCh186Qh-#{"languageisocode":["ITA"],"appno":["18766/11","36030/11"],"documentcollectionid2":["CHAMBER"],"itemid":["001-157810"]}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7"/>
    <w:rsid w:val="0045208F"/>
    <w:rsid w:val="00683406"/>
    <w:rsid w:val="00E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D17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E07D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E07D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07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D17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E07D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E07D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0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udoc.echr.coe.int/eng?i=001-156265&amp;sa=X&amp;ved=0CDUQ9QEwD2oVChMIwICr1bn2xgIVI75yCh186Qh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2016-10-28T12:27:00Z</dcterms:created>
  <dcterms:modified xsi:type="dcterms:W3CDTF">2016-10-28T12:28:00Z</dcterms:modified>
</cp:coreProperties>
</file>