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17" w:rsidRDefault="00957317" w:rsidP="00957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BO"/>
        </w:rPr>
      </w:pPr>
      <w:r>
        <w:rPr>
          <w:noProof/>
          <w:lang w:eastAsia="es-BO"/>
        </w:rPr>
        <w:drawing>
          <wp:inline distT="0" distB="0" distL="0" distR="0" wp14:anchorId="307AB685" wp14:editId="6EB8DAB0">
            <wp:extent cx="380093" cy="266065"/>
            <wp:effectExtent l="0" t="0" r="1270" b="635"/>
            <wp:docPr id="1" name="Imagen 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317" w:rsidRPr="00957317" w:rsidRDefault="00957317" w:rsidP="00957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BO"/>
        </w:rPr>
      </w:pPr>
      <w:r w:rsidRPr="00957317">
        <w:rPr>
          <w:rFonts w:ascii="Arial" w:eastAsia="Times New Roman" w:hAnsi="Arial" w:cs="Arial"/>
          <w:b/>
          <w:color w:val="000000"/>
          <w:sz w:val="20"/>
          <w:szCs w:val="20"/>
          <w:lang w:val="es-ES_tradnl" w:eastAsia="es-BO"/>
        </w:rPr>
        <w:t>NORMAS DISCRIMINATORIAS EN LAS FUERZAS ARMADAS</w:t>
      </w:r>
      <w:r w:rsidRPr="00957317">
        <w:rPr>
          <w:rStyle w:val="Refdenotaalpie"/>
          <w:rFonts w:ascii="Arial" w:eastAsia="Times New Roman" w:hAnsi="Arial" w:cs="Arial"/>
          <w:b/>
          <w:color w:val="000000"/>
          <w:sz w:val="20"/>
          <w:szCs w:val="20"/>
          <w:lang w:val="es-ES_tradnl" w:eastAsia="es-BO"/>
        </w:rPr>
        <w:footnoteReference w:id="1"/>
      </w:r>
    </w:p>
    <w:p w:rsidR="00957317" w:rsidRPr="00DF237E" w:rsidRDefault="00957317" w:rsidP="00957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</w:pPr>
      <w:proofErr w:type="gramStart"/>
      <w:r w:rsidRPr="00957317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>Stf</w:t>
      </w:r>
      <w:bookmarkStart w:id="0" w:name="_GoBack"/>
      <w:bookmarkEnd w:id="0"/>
      <w:proofErr w:type="gramEnd"/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 xml:space="preserve"> - supremo tribunal federal</w:t>
      </w:r>
    </w:p>
    <w:p w:rsidR="00957317" w:rsidRPr="00DF237E" w:rsidRDefault="00957317" w:rsidP="00957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</w:pPr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>Processo: 3299-2</w:t>
      </w:r>
    </w:p>
    <w:p w:rsidR="00957317" w:rsidRPr="00DF237E" w:rsidRDefault="00957317" w:rsidP="00957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</w:pPr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>Classe: adi - ação direta de inconstitucionalidade</w:t>
      </w:r>
    </w:p>
    <w:p w:rsidR="00957317" w:rsidRPr="00DF237E" w:rsidRDefault="00957317" w:rsidP="00957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</w:pPr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 xml:space="preserve">Relatar: min. Carlos </w:t>
      </w:r>
      <w:proofErr w:type="gramStart"/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>velloso</w:t>
      </w:r>
      <w:proofErr w:type="gramEnd"/>
    </w:p>
    <w:p w:rsidR="00957317" w:rsidRPr="00DF237E" w:rsidRDefault="00957317" w:rsidP="00957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</w:pPr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 xml:space="preserve">Procedência: distrito federal / </w:t>
      </w:r>
      <w:proofErr w:type="gramStart"/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>df</w:t>
      </w:r>
      <w:proofErr w:type="gramEnd"/>
    </w:p>
    <w:p w:rsidR="00957317" w:rsidRPr="00DF237E" w:rsidRDefault="00957317" w:rsidP="00957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</w:pPr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>Publicação: 29/09/2004</w:t>
      </w:r>
    </w:p>
    <w:p w:rsidR="00957317" w:rsidRPr="00DF237E" w:rsidRDefault="00957317" w:rsidP="00957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pt-BR" w:eastAsia="es-BO"/>
        </w:rPr>
      </w:pPr>
      <w:r w:rsidRPr="00DF237E">
        <w:rPr>
          <w:rFonts w:ascii="Arial" w:eastAsia="Times New Roman" w:hAnsi="Arial" w:cs="Arial"/>
          <w:b/>
          <w:color w:val="000000"/>
          <w:sz w:val="20"/>
          <w:szCs w:val="20"/>
          <w:lang w:val="pt-BR" w:eastAsia="es-BO"/>
        </w:rPr>
        <w:t xml:space="preserve">Antecedente </w:t>
      </w:r>
    </w:p>
    <w:p w:rsidR="00957317" w:rsidRPr="00DF237E" w:rsidRDefault="00957317" w:rsidP="00957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</w:pPr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 xml:space="preserve">A Associação de Incentivo à Educação e Saúde de São Paulo e Outra, com fundamento no Art. 103, IX, da Constituição Federal, propõem ação direta de inconstitucionalidade, com pedido de suspensão cautelar, do Art. 235 do Decreto-lei 1.001 (Código Penal Militar), de 21.10.1969. A norma impugnada tem o seguinte teor: </w:t>
      </w:r>
      <w:proofErr w:type="gramStart"/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>“(...) Pederastia ou outro ato de libidinagem Art. 235.</w:t>
      </w:r>
      <w:proofErr w:type="gramEnd"/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 xml:space="preserve"> </w:t>
      </w:r>
    </w:p>
    <w:p w:rsidR="00957317" w:rsidRPr="00DF237E" w:rsidRDefault="00957317" w:rsidP="00957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</w:pPr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>Praticar, ou permitir que com ele se pratique ato libidinoso, homossexual ou não, em lugar sujeito a administração militar:</w:t>
      </w:r>
      <w:r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 xml:space="preserve"> </w:t>
      </w:r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>Pena - detenção, de seis meses a um ano (</w:t>
      </w:r>
      <w:proofErr w:type="gramStart"/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>...)”</w:t>
      </w:r>
      <w:proofErr w:type="gramEnd"/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 xml:space="preserve"> Alegam as autoras, em </w:t>
      </w:r>
    </w:p>
    <w:p w:rsidR="00957317" w:rsidRPr="00DF237E" w:rsidRDefault="00957317" w:rsidP="00957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</w:pPr>
      <w:proofErr w:type="gramStart"/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>síntese</w:t>
      </w:r>
      <w:proofErr w:type="gramEnd"/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>, o seguinte:</w:t>
      </w:r>
    </w:p>
    <w:p w:rsidR="00957317" w:rsidRDefault="00957317" w:rsidP="00957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</w:pPr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>a) legitimidade ativa das associações requerentes, visto que visam à defesa do direito de minorias sexuais em âmbito nacional;</w:t>
      </w:r>
      <w:r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 xml:space="preserve"> </w:t>
      </w:r>
    </w:p>
    <w:p w:rsidR="00957317" w:rsidRPr="00DF237E" w:rsidRDefault="00957317" w:rsidP="00957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</w:pPr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>b) existência de pertinência temática, porquanto “a norma impugnada diz</w:t>
      </w:r>
      <w:proofErr w:type="gramStart"/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 xml:space="preserve"> </w:t>
      </w:r>
      <w:proofErr w:type="gramEnd"/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>respeito a direitos, garantias e interesses dos associados e também integra os objetivos de trabalho das Requerentes, eis que tratam de regras que lesam os direitos das minorias sexuais e os tornam criminosos quando externam sua orientação homossexual” (fl. 04);</w:t>
      </w:r>
    </w:p>
    <w:p w:rsidR="00957317" w:rsidRPr="00DF237E" w:rsidRDefault="00957317" w:rsidP="00957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</w:pPr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 xml:space="preserve">c) ofensa ao Art. 5º, caput, da Constituição, dado que o dispositivo impugnado confere tratamento desigual entre </w:t>
      </w:r>
      <w:proofErr w:type="gramStart"/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>os que tem</w:t>
      </w:r>
      <w:proofErr w:type="gramEnd"/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 xml:space="preserve"> orientação homossexual e heterossexual, sendo certo que “os atos sexuais heterossexuais são considerados ‘normais’ e os homossexuais são considerados crimes” (fl. 03). Ademais, é inconstitucional toda discriminação realizada em decorrência de orientação sexual, uma vez que tal critério de diferenciação não foi previsto pela Lei Maior, valendo salientar que o</w:t>
      </w:r>
      <w:r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 xml:space="preserve"> </w:t>
      </w:r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>Art. 3º, IV, da C.F. veda qualquer discriminação por motivo de sexo, inclusive orientação sexual;</w:t>
      </w:r>
    </w:p>
    <w:p w:rsidR="00957317" w:rsidRDefault="00957317" w:rsidP="00957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</w:pPr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 xml:space="preserve">d) ofensa ao princípio da proporcionalidade, dado que as limitações aos direitos fundamentais somente são admissíveis quando tiverem por escopo a realização de </w:t>
      </w:r>
      <w:proofErr w:type="gramStart"/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>um outro</w:t>
      </w:r>
      <w:proofErr w:type="gramEnd"/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 xml:space="preserve"> direito fundamental. Autos conclusos em 14.9.2004.</w:t>
      </w:r>
    </w:p>
    <w:p w:rsidR="00957317" w:rsidRPr="00DF237E" w:rsidRDefault="00957317" w:rsidP="00957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pt-BR" w:eastAsia="es-BO"/>
        </w:rPr>
      </w:pPr>
      <w:r w:rsidRPr="00DF237E">
        <w:rPr>
          <w:rFonts w:ascii="Arial" w:eastAsia="Times New Roman" w:hAnsi="Arial" w:cs="Arial"/>
          <w:b/>
          <w:color w:val="000000"/>
          <w:sz w:val="20"/>
          <w:szCs w:val="20"/>
          <w:lang w:val="pt-BR" w:eastAsia="es-BO"/>
        </w:rPr>
        <w:t xml:space="preserve">Sentencia </w:t>
      </w:r>
    </w:p>
    <w:p w:rsidR="00957317" w:rsidRPr="00DF237E" w:rsidRDefault="00957317" w:rsidP="00957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</w:pPr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>Na ADI 344/DF, por mim relatada, decidiu o Supremo Tribunal Federal:</w:t>
      </w:r>
    </w:p>
    <w:p w:rsidR="00957317" w:rsidRPr="00DF237E" w:rsidRDefault="00957317" w:rsidP="00957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</w:pPr>
      <w:proofErr w:type="gramStart"/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>“Ementa: Constitucional.</w:t>
      </w:r>
      <w:proofErr w:type="gramEnd"/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 xml:space="preserve"> Ação Direta. Lei anterior à constituição. </w:t>
      </w:r>
    </w:p>
    <w:p w:rsidR="00957317" w:rsidRPr="00DF237E" w:rsidRDefault="00957317" w:rsidP="00957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</w:pPr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>Inconstitucionalidade Superveniente.</w:t>
      </w:r>
    </w:p>
    <w:p w:rsidR="00957317" w:rsidRPr="00DF237E" w:rsidRDefault="00957317" w:rsidP="00957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</w:pPr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>I. - Lei anterior à Constituição e com esta incompatível: o caso é de revogação da lei e não de inconstitucionalidade superveniente. Em caso assim, não cabe ação direta de inconstitucionalidade.</w:t>
      </w:r>
    </w:p>
    <w:p w:rsidR="00957317" w:rsidRPr="00DF237E" w:rsidRDefault="00957317" w:rsidP="00957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</w:pPr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>II. - Precedente do Tribunal: ADIN nº 2-DF.</w:t>
      </w:r>
    </w:p>
    <w:p w:rsidR="00957317" w:rsidRPr="00DF237E" w:rsidRDefault="00957317" w:rsidP="009573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</w:pPr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 xml:space="preserve">III. - </w:t>
      </w:r>
      <w:proofErr w:type="gramStart"/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>Ação direta não conhecida.”</w:t>
      </w:r>
      <w:proofErr w:type="gramEnd"/>
      <w:r w:rsidRPr="00DF237E">
        <w:rPr>
          <w:rFonts w:ascii="Arial" w:eastAsia="Times New Roman" w:hAnsi="Arial" w:cs="Arial"/>
          <w:color w:val="000000"/>
          <w:sz w:val="20"/>
          <w:szCs w:val="20"/>
          <w:lang w:val="pt-BR" w:eastAsia="es-BO"/>
        </w:rPr>
        <w:t xml:space="preserve"> (“DJ” de 07.12.95) No caso, a norma objeto da causa é do Código Penal Militar, DL 1001, de 1969, anterior, portanto, à Constituição vigente. Do exposto, nego seguimento à inicial e determino o arquivamento dos autos.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2E" w:rsidRDefault="00E3662E" w:rsidP="00957317">
      <w:pPr>
        <w:spacing w:after="0" w:line="240" w:lineRule="auto"/>
      </w:pPr>
      <w:r>
        <w:separator/>
      </w:r>
    </w:p>
  </w:endnote>
  <w:endnote w:type="continuationSeparator" w:id="0">
    <w:p w:rsidR="00E3662E" w:rsidRDefault="00E3662E" w:rsidP="009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2E" w:rsidRDefault="00E3662E" w:rsidP="00957317">
      <w:pPr>
        <w:spacing w:after="0" w:line="240" w:lineRule="auto"/>
      </w:pPr>
      <w:r>
        <w:separator/>
      </w:r>
    </w:p>
  </w:footnote>
  <w:footnote w:type="continuationSeparator" w:id="0">
    <w:p w:rsidR="00E3662E" w:rsidRDefault="00E3662E" w:rsidP="00957317">
      <w:pPr>
        <w:spacing w:after="0" w:line="240" w:lineRule="auto"/>
      </w:pPr>
      <w:r>
        <w:continuationSeparator/>
      </w:r>
    </w:p>
  </w:footnote>
  <w:footnote w:id="1">
    <w:p w:rsidR="00957317" w:rsidRDefault="00957317" w:rsidP="00957317">
      <w:pPr>
        <w:pStyle w:val="Textonotapie"/>
      </w:pPr>
      <w:r>
        <w:rPr>
          <w:rStyle w:val="Refdenotaalpie"/>
        </w:rPr>
        <w:footnoteRef/>
      </w:r>
      <w:r>
        <w:t xml:space="preserve"> Anexo JU/FFAAPOL/BRA</w:t>
      </w:r>
      <w:r w:rsidRPr="00BE0D41">
        <w:t>/1</w:t>
      </w:r>
      <w:r>
        <w:t xml:space="preserve"> Para ver la </w:t>
      </w:r>
      <w:r w:rsidRPr="00711B4F">
        <w:t xml:space="preserve">norma in extenso, </w:t>
      </w:r>
      <w:r>
        <w:t xml:space="preserve">también puede utilizar el siguiente link </w:t>
      </w:r>
      <w:hyperlink r:id="rId1" w:history="1">
        <w:r w:rsidRPr="00D614B3">
          <w:rPr>
            <w:rStyle w:val="Hipervnculo"/>
          </w:rPr>
          <w:t>http://www.sociedadeinclusiva.pucminas.br/cartilhas/jur_sexuais.doc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17"/>
    <w:rsid w:val="00683406"/>
    <w:rsid w:val="00957317"/>
    <w:rsid w:val="00E3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7317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9573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9573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95731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7317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9573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95731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95731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iedadeinclusiva.pucminas.br/cartilhas/jur_sexuais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2016-10-28T10:50:00Z</dcterms:created>
  <dcterms:modified xsi:type="dcterms:W3CDTF">2016-10-28T10:50:00Z</dcterms:modified>
</cp:coreProperties>
</file>