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EE5" w:rsidRDefault="00B50EE5" w:rsidP="00B50EE5">
      <w:pPr>
        <w:spacing w:after="0" w:line="240" w:lineRule="auto"/>
        <w:jc w:val="both"/>
        <w:textAlignment w:val="baseline"/>
        <w:rPr>
          <w:rFonts w:ascii="Arial" w:hAnsi="Arial" w:cs="Arial"/>
          <w:b/>
          <w:sz w:val="20"/>
          <w:szCs w:val="20"/>
          <w:highlight w:val="cyan"/>
        </w:rPr>
      </w:pPr>
      <w:r>
        <w:rPr>
          <w:noProof/>
          <w:lang w:eastAsia="es-BO"/>
        </w:rPr>
        <w:drawing>
          <wp:inline distT="0" distB="0" distL="0" distR="0" wp14:anchorId="5F70216B" wp14:editId="6BBEF151">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B50EE5" w:rsidRPr="00DE53A3" w:rsidRDefault="00B50EE5" w:rsidP="00B50EE5">
      <w:pPr>
        <w:spacing w:after="0" w:line="240" w:lineRule="auto"/>
        <w:jc w:val="both"/>
        <w:textAlignment w:val="baseline"/>
        <w:rPr>
          <w:rFonts w:ascii="Arial" w:eastAsia="Times New Roman" w:hAnsi="Arial" w:cs="Arial"/>
          <w:color w:val="2D2D2D"/>
          <w:sz w:val="20"/>
          <w:szCs w:val="20"/>
          <w:lang w:eastAsia="es-ES"/>
        </w:rPr>
      </w:pPr>
      <w:bookmarkStart w:id="0" w:name="_GoBack"/>
      <w:r w:rsidRPr="00DE53A3">
        <w:rPr>
          <w:rFonts w:ascii="Arial" w:hAnsi="Arial" w:cs="Arial"/>
          <w:b/>
          <w:sz w:val="20"/>
          <w:szCs w:val="20"/>
        </w:rPr>
        <w:t>PENSIÓN DE PAREJA SOBREVIVIENTE</w:t>
      </w:r>
      <w:bookmarkEnd w:id="0"/>
      <w:r w:rsidRPr="00DE53A3">
        <w:rPr>
          <w:rStyle w:val="Refdenotaalpie"/>
          <w:rFonts w:ascii="Arial" w:hAnsi="Arial" w:cs="Arial"/>
          <w:b/>
          <w:sz w:val="20"/>
          <w:szCs w:val="20"/>
        </w:rPr>
        <w:footnoteReference w:id="1"/>
      </w:r>
    </w:p>
    <w:p w:rsidR="00B50EE5" w:rsidRPr="00DE53A3" w:rsidRDefault="00B50EE5" w:rsidP="00B50EE5">
      <w:pPr>
        <w:spacing w:after="0" w:line="240" w:lineRule="auto"/>
        <w:jc w:val="both"/>
        <w:rPr>
          <w:rFonts w:ascii="Arial" w:hAnsi="Arial" w:cs="Arial"/>
          <w:sz w:val="20"/>
          <w:szCs w:val="20"/>
        </w:rPr>
      </w:pPr>
      <w:r w:rsidRPr="00DE53A3">
        <w:rPr>
          <w:rFonts w:ascii="Arial" w:hAnsi="Arial" w:cs="Arial"/>
          <w:sz w:val="20"/>
          <w:szCs w:val="20"/>
        </w:rPr>
        <w:t>Corte Constitucional de Colombia</w:t>
      </w:r>
    </w:p>
    <w:p w:rsidR="00F101D6" w:rsidRPr="00DE53A3" w:rsidRDefault="00F101D6" w:rsidP="00B50EE5">
      <w:pPr>
        <w:spacing w:after="0" w:line="240" w:lineRule="auto"/>
        <w:jc w:val="both"/>
        <w:rPr>
          <w:rFonts w:ascii="Arial" w:hAnsi="Arial" w:cs="Arial"/>
          <w:sz w:val="20"/>
          <w:szCs w:val="20"/>
        </w:rPr>
      </w:pPr>
      <w:r w:rsidRPr="00DE53A3">
        <w:rPr>
          <w:rFonts w:ascii="Arial" w:hAnsi="Arial" w:cs="Arial"/>
          <w:b/>
          <w:bCs/>
          <w:sz w:val="20"/>
          <w:szCs w:val="20"/>
          <w:lang w:val="es-CO"/>
        </w:rPr>
        <w:t>Sentencia C-336/08</w:t>
      </w:r>
    </w:p>
    <w:p w:rsidR="00B50EE5" w:rsidRPr="00DE53A3" w:rsidRDefault="00B50EE5" w:rsidP="00B50EE5">
      <w:pPr>
        <w:spacing w:after="0" w:line="240" w:lineRule="auto"/>
        <w:jc w:val="both"/>
        <w:rPr>
          <w:rFonts w:ascii="Arial" w:hAnsi="Arial" w:cs="Arial"/>
          <w:sz w:val="20"/>
          <w:szCs w:val="20"/>
        </w:rPr>
      </w:pPr>
      <w:r w:rsidRPr="00DE53A3">
        <w:rPr>
          <w:rFonts w:ascii="Arial" w:hAnsi="Arial" w:cs="Arial"/>
          <w:sz w:val="20"/>
          <w:szCs w:val="20"/>
        </w:rPr>
        <w:t>Fecha 1</w:t>
      </w:r>
      <w:r w:rsidR="00F101D6" w:rsidRPr="00DE53A3">
        <w:rPr>
          <w:rFonts w:ascii="Arial" w:hAnsi="Arial" w:cs="Arial"/>
          <w:sz w:val="20"/>
          <w:szCs w:val="20"/>
        </w:rPr>
        <w:t>6/04</w:t>
      </w:r>
      <w:r w:rsidRPr="00DE53A3">
        <w:rPr>
          <w:rFonts w:ascii="Arial" w:hAnsi="Arial" w:cs="Arial"/>
          <w:sz w:val="20"/>
          <w:szCs w:val="20"/>
        </w:rPr>
        <w:t>/2008</w:t>
      </w:r>
    </w:p>
    <w:p w:rsidR="00B50EE5" w:rsidRPr="00DE53A3" w:rsidRDefault="00B50EE5" w:rsidP="00B50EE5">
      <w:pPr>
        <w:spacing w:after="0" w:line="240" w:lineRule="auto"/>
        <w:jc w:val="both"/>
        <w:rPr>
          <w:rFonts w:ascii="Arial" w:hAnsi="Arial" w:cs="Arial"/>
          <w:b/>
          <w:sz w:val="20"/>
          <w:szCs w:val="20"/>
        </w:rPr>
      </w:pPr>
      <w:r w:rsidRPr="00DE53A3">
        <w:rPr>
          <w:rFonts w:ascii="Arial" w:hAnsi="Arial" w:cs="Arial"/>
          <w:b/>
          <w:sz w:val="20"/>
          <w:szCs w:val="20"/>
        </w:rPr>
        <w:t>Antecedente</w:t>
      </w:r>
    </w:p>
    <w:p w:rsidR="00F101D6" w:rsidRPr="00F101D6" w:rsidRDefault="00F101D6" w:rsidP="00DE53A3">
      <w:pPr>
        <w:spacing w:before="100" w:beforeAutospacing="1" w:after="100" w:afterAutospacing="1" w:line="240" w:lineRule="auto"/>
        <w:jc w:val="both"/>
        <w:rPr>
          <w:rFonts w:ascii="Arial" w:eastAsia="Times New Roman" w:hAnsi="Arial" w:cs="Arial"/>
          <w:bCs/>
          <w:sz w:val="20"/>
          <w:szCs w:val="20"/>
          <w:lang w:val="es-CO" w:eastAsia="es-BO"/>
        </w:rPr>
      </w:pPr>
      <w:r w:rsidRPr="00F101D6">
        <w:rPr>
          <w:rFonts w:ascii="Arial" w:eastAsia="Times New Roman" w:hAnsi="Arial" w:cs="Arial"/>
          <w:bCs/>
          <w:sz w:val="20"/>
          <w:szCs w:val="20"/>
          <w:lang w:val="es-CO" w:eastAsia="es-BO"/>
        </w:rPr>
        <w:t xml:space="preserve">El ciudadano Rodrigo </w:t>
      </w:r>
      <w:proofErr w:type="spellStart"/>
      <w:r w:rsidRPr="00F101D6">
        <w:rPr>
          <w:rFonts w:ascii="Arial" w:eastAsia="Times New Roman" w:hAnsi="Arial" w:cs="Arial"/>
          <w:bCs/>
          <w:sz w:val="20"/>
          <w:szCs w:val="20"/>
          <w:lang w:val="es-CO" w:eastAsia="es-BO"/>
        </w:rPr>
        <w:t>Uprimny</w:t>
      </w:r>
      <w:proofErr w:type="spellEnd"/>
      <w:r w:rsidRPr="00F101D6">
        <w:rPr>
          <w:rFonts w:ascii="Arial" w:eastAsia="Times New Roman" w:hAnsi="Arial" w:cs="Arial"/>
          <w:bCs/>
          <w:sz w:val="20"/>
          <w:szCs w:val="20"/>
          <w:lang w:val="es-CO" w:eastAsia="es-BO"/>
        </w:rPr>
        <w:t xml:space="preserve"> Yepes y otros, en ejercicio de la acción pública consagrada en los artículos 40-6 y 242-1 de la Constitución Política, presentaron demanda de inconstitucionalidad contra los artículos 1º. (</w:t>
      </w:r>
      <w:proofErr w:type="gramStart"/>
      <w:r w:rsidRPr="00F101D6">
        <w:rPr>
          <w:rFonts w:ascii="Arial" w:eastAsia="Times New Roman" w:hAnsi="Arial" w:cs="Arial"/>
          <w:bCs/>
          <w:sz w:val="20"/>
          <w:szCs w:val="20"/>
          <w:lang w:val="es-CO" w:eastAsia="es-BO"/>
        </w:rPr>
        <w:t>parcial</w:t>
      </w:r>
      <w:proofErr w:type="gramEnd"/>
      <w:r w:rsidRPr="00F101D6">
        <w:rPr>
          <w:rFonts w:ascii="Arial" w:eastAsia="Times New Roman" w:hAnsi="Arial" w:cs="Arial"/>
          <w:bCs/>
          <w:sz w:val="20"/>
          <w:szCs w:val="20"/>
          <w:lang w:val="es-CO" w:eastAsia="es-BO"/>
        </w:rPr>
        <w:t xml:space="preserve">) de la ley 54 de 1990; 47 (parcial), 74 (parcial) y 163 </w:t>
      </w:r>
      <w:r w:rsidR="00DE53A3" w:rsidRPr="00DE53A3">
        <w:rPr>
          <w:rFonts w:ascii="Arial" w:eastAsia="Times New Roman" w:hAnsi="Arial" w:cs="Arial"/>
          <w:bCs/>
          <w:sz w:val="20"/>
          <w:szCs w:val="20"/>
          <w:lang w:val="es-CO" w:eastAsia="es-BO"/>
        </w:rPr>
        <w:t>(parcial) de la ley 100 de 1993, referidas al acceso</w:t>
      </w:r>
      <w:r w:rsidR="00DE53A3" w:rsidRPr="00DE53A3">
        <w:rPr>
          <w:rFonts w:ascii="Arial" w:eastAsia="Times New Roman" w:hAnsi="Arial" w:cs="Arial"/>
          <w:bCs/>
          <w:sz w:val="20"/>
          <w:szCs w:val="20"/>
          <w:lang w:val="es-CO" w:eastAsia="es-BO"/>
        </w:rPr>
        <w:t xml:space="preserve"> a la pensión de sobrevivientes las parejas permanentes del mismo sexo</w:t>
      </w:r>
      <w:r w:rsidR="00DE53A3" w:rsidRPr="00DE53A3">
        <w:rPr>
          <w:rFonts w:ascii="Arial" w:eastAsia="Times New Roman" w:hAnsi="Arial" w:cs="Arial"/>
          <w:bCs/>
          <w:sz w:val="20"/>
          <w:szCs w:val="20"/>
          <w:lang w:val="es-CO" w:eastAsia="es-BO"/>
        </w:rPr>
        <w:t>.</w:t>
      </w:r>
    </w:p>
    <w:p w:rsidR="00F101D6" w:rsidRPr="00F101D6" w:rsidRDefault="00F101D6" w:rsidP="00DE53A3">
      <w:pPr>
        <w:spacing w:before="100" w:beforeAutospacing="1" w:after="100" w:afterAutospacing="1" w:line="240" w:lineRule="auto"/>
        <w:jc w:val="both"/>
        <w:rPr>
          <w:rFonts w:ascii="Arial" w:eastAsia="Times New Roman" w:hAnsi="Arial" w:cs="Arial"/>
          <w:bCs/>
          <w:sz w:val="20"/>
          <w:szCs w:val="20"/>
          <w:lang w:val="es-CO" w:eastAsia="es-BO"/>
        </w:rPr>
      </w:pPr>
      <w:r w:rsidRPr="00F101D6">
        <w:rPr>
          <w:rFonts w:ascii="Arial" w:eastAsia="Times New Roman" w:hAnsi="Arial" w:cs="Arial"/>
          <w:bCs/>
          <w:sz w:val="20"/>
          <w:szCs w:val="20"/>
          <w:lang w:val="es-CO" w:eastAsia="es-BO"/>
        </w:rPr>
        <w:t>Cumplidos los trámites constitucionales y legales propios de los procesos de constitucionalidad, previo concepto del Procurador General de la Nación, la Corte Constitucional procede a decidir acerca de la demanda de la referencia.</w:t>
      </w:r>
    </w:p>
    <w:p w:rsidR="00B50EE5" w:rsidRPr="00DE53A3" w:rsidRDefault="00B50EE5" w:rsidP="00B50EE5">
      <w:pPr>
        <w:shd w:val="clear" w:color="auto" w:fill="FFFFFF"/>
        <w:spacing w:after="0" w:line="240" w:lineRule="auto"/>
        <w:jc w:val="both"/>
        <w:rPr>
          <w:rFonts w:ascii="Arial" w:eastAsia="Times New Roman" w:hAnsi="Arial" w:cs="Arial"/>
          <w:b/>
          <w:color w:val="000000"/>
          <w:sz w:val="20"/>
          <w:szCs w:val="20"/>
          <w:lang w:eastAsia="es-BO"/>
        </w:rPr>
      </w:pPr>
      <w:r w:rsidRPr="00DE53A3">
        <w:rPr>
          <w:rFonts w:ascii="Arial" w:eastAsia="Times New Roman" w:hAnsi="Arial" w:cs="Arial"/>
          <w:b/>
          <w:color w:val="000000"/>
          <w:sz w:val="20"/>
          <w:szCs w:val="20"/>
          <w:lang w:eastAsia="es-BO"/>
        </w:rPr>
        <w:t>Sentencia</w:t>
      </w:r>
    </w:p>
    <w:p w:rsidR="00F101D6" w:rsidRPr="00F101D6" w:rsidRDefault="00F101D6" w:rsidP="00F101D6">
      <w:pPr>
        <w:spacing w:before="100" w:beforeAutospacing="1" w:after="100" w:afterAutospacing="1" w:line="240" w:lineRule="auto"/>
        <w:jc w:val="both"/>
        <w:rPr>
          <w:rFonts w:ascii="Arial" w:eastAsia="Times New Roman" w:hAnsi="Arial" w:cs="Arial"/>
          <w:sz w:val="20"/>
          <w:szCs w:val="20"/>
          <w:lang w:eastAsia="es-BO"/>
        </w:rPr>
      </w:pPr>
      <w:r w:rsidRPr="00F101D6">
        <w:rPr>
          <w:rFonts w:ascii="Arial" w:eastAsia="Times New Roman" w:hAnsi="Arial" w:cs="Arial"/>
          <w:b/>
          <w:bCs/>
          <w:sz w:val="20"/>
          <w:szCs w:val="20"/>
          <w:lang w:val="es-CO" w:eastAsia="es-BO"/>
        </w:rPr>
        <w:t>Primero</w:t>
      </w:r>
      <w:r w:rsidRPr="00F101D6">
        <w:rPr>
          <w:rFonts w:ascii="Arial" w:eastAsia="Times New Roman" w:hAnsi="Arial" w:cs="Arial"/>
          <w:sz w:val="20"/>
          <w:szCs w:val="20"/>
          <w:lang w:val="es-CO" w:eastAsia="es-BO"/>
        </w:rPr>
        <w:t xml:space="preserve">: Declarar </w:t>
      </w:r>
      <w:r w:rsidRPr="00F101D6">
        <w:rPr>
          <w:rFonts w:ascii="Arial" w:eastAsia="Times New Roman" w:hAnsi="Arial" w:cs="Arial"/>
          <w:b/>
          <w:bCs/>
          <w:sz w:val="20"/>
          <w:szCs w:val="20"/>
          <w:lang w:val="es-CO" w:eastAsia="es-BO"/>
        </w:rPr>
        <w:t>EXEQUIBLES</w:t>
      </w:r>
      <w:r w:rsidRPr="00F101D6">
        <w:rPr>
          <w:rFonts w:ascii="Arial" w:eastAsia="Times New Roman" w:hAnsi="Arial" w:cs="Arial"/>
          <w:sz w:val="20"/>
          <w:szCs w:val="20"/>
          <w:lang w:val="es-CO" w:eastAsia="es-BO"/>
        </w:rPr>
        <w:t xml:space="preserve"> las expresiones</w:t>
      </w:r>
      <w:r w:rsidRPr="00F101D6">
        <w:rPr>
          <w:rFonts w:ascii="Arial" w:eastAsia="Times New Roman" w:hAnsi="Arial" w:cs="Arial"/>
          <w:b/>
          <w:bCs/>
          <w:sz w:val="20"/>
          <w:szCs w:val="20"/>
          <w:lang w:val="es-CO" w:eastAsia="es-BO"/>
        </w:rPr>
        <w:t xml:space="preserve"> </w:t>
      </w:r>
      <w:r w:rsidRPr="00F101D6">
        <w:rPr>
          <w:rFonts w:ascii="Arial" w:eastAsia="Times New Roman" w:hAnsi="Arial" w:cs="Arial"/>
          <w:sz w:val="20"/>
          <w:szCs w:val="20"/>
          <w:lang w:val="es-CO" w:eastAsia="es-BO"/>
        </w:rPr>
        <w:t>“</w:t>
      </w:r>
      <w:r w:rsidRPr="00F101D6">
        <w:rPr>
          <w:rFonts w:ascii="Arial" w:eastAsia="Times New Roman" w:hAnsi="Arial" w:cs="Arial"/>
          <w:i/>
          <w:iCs/>
          <w:sz w:val="20"/>
          <w:szCs w:val="20"/>
          <w:lang w:val="es-CO" w:eastAsia="es-BO"/>
        </w:rPr>
        <w:t>la compañera o compañero permanente”; “la compañera o compañero permanente”; “la compañera permanente”; “compañero o compañera permanente”; “una compañera o compañero permanente”; “la compañera o compañero permanente”; “compañero o compañera permanente”</w:t>
      </w:r>
      <w:r w:rsidRPr="00F101D6">
        <w:rPr>
          <w:rFonts w:ascii="Arial" w:eastAsia="Times New Roman" w:hAnsi="Arial" w:cs="Arial"/>
          <w:sz w:val="20"/>
          <w:szCs w:val="20"/>
          <w:lang w:val="es-CO" w:eastAsia="es-BO"/>
        </w:rPr>
        <w:t>, contenidas en el artículo 47 de la Ley 100 de 1993, modificado por el artículo 13 de la Ley 797 de 2003, y las expresiones “</w:t>
      </w:r>
      <w:r w:rsidRPr="00F101D6">
        <w:rPr>
          <w:rFonts w:ascii="Arial" w:eastAsia="Times New Roman" w:hAnsi="Arial" w:cs="Arial"/>
          <w:i/>
          <w:iCs/>
          <w:sz w:val="20"/>
          <w:szCs w:val="20"/>
          <w:lang w:val="es-CO" w:eastAsia="es-BO"/>
        </w:rPr>
        <w:t>el cónyuge o la compañera o compañero permanente”; “la compañera o compañero permanente”; “un compañero o compañera permanente”; “una compañera o compañero permanente”; “la compañera o compañero permanente”; “compañero o compañera permanente” y “compañero o compañera permanente”</w:t>
      </w:r>
      <w:r w:rsidRPr="00F101D6">
        <w:rPr>
          <w:rFonts w:ascii="Arial" w:eastAsia="Times New Roman" w:hAnsi="Arial" w:cs="Arial"/>
          <w:sz w:val="20"/>
          <w:szCs w:val="20"/>
          <w:lang w:val="es-CO" w:eastAsia="es-BO"/>
        </w:rPr>
        <w:t>, contenidas en el artículo 74 de la Ley 100 de 1993, modificado por el artículo 13 de la Ley 797 de 2003, en el entendido que también son beneficiarias de la pensión de sobrevivientes las parejas permanentes del mismo sexo cuya condición sea acreditada en los términos señalados en la sentencia C-521 de 2007 para las parejas heterosexuales.</w:t>
      </w:r>
    </w:p>
    <w:p w:rsidR="00F101D6" w:rsidRPr="00DE53A3" w:rsidRDefault="00F101D6" w:rsidP="00F101D6">
      <w:pPr>
        <w:spacing w:before="100" w:beforeAutospacing="1" w:after="100" w:afterAutospacing="1" w:line="240" w:lineRule="auto"/>
        <w:ind w:right="56"/>
        <w:jc w:val="both"/>
        <w:rPr>
          <w:rFonts w:ascii="Arial" w:eastAsia="Times New Roman" w:hAnsi="Arial" w:cs="Arial"/>
          <w:sz w:val="20"/>
          <w:szCs w:val="20"/>
          <w:lang w:eastAsia="es-BO"/>
        </w:rPr>
      </w:pPr>
      <w:r w:rsidRPr="00F101D6">
        <w:rPr>
          <w:rFonts w:ascii="Arial" w:eastAsia="Times New Roman" w:hAnsi="Arial" w:cs="Arial"/>
          <w:b/>
          <w:bCs/>
          <w:sz w:val="20"/>
          <w:szCs w:val="20"/>
          <w:lang w:val="es-CO" w:eastAsia="es-BO"/>
        </w:rPr>
        <w:t>Segundo</w:t>
      </w:r>
      <w:r w:rsidRPr="00F101D6">
        <w:rPr>
          <w:rFonts w:ascii="Arial" w:eastAsia="Times New Roman" w:hAnsi="Arial" w:cs="Arial"/>
          <w:sz w:val="20"/>
          <w:szCs w:val="20"/>
          <w:lang w:val="es-CO" w:eastAsia="es-BO"/>
        </w:rPr>
        <w:t xml:space="preserve">: Respecto del artículo 1º. de la Ley 54 de 1990, </w:t>
      </w:r>
      <w:r w:rsidRPr="00F101D6">
        <w:rPr>
          <w:rFonts w:ascii="Arial" w:eastAsia="Times New Roman" w:hAnsi="Arial" w:cs="Arial"/>
          <w:b/>
          <w:bCs/>
          <w:sz w:val="20"/>
          <w:szCs w:val="20"/>
          <w:lang w:val="es-CO" w:eastAsia="es-BO"/>
        </w:rPr>
        <w:t xml:space="preserve">estarse a lo resuelto en la Sentencia C-075 de 2007, </w:t>
      </w:r>
      <w:r w:rsidRPr="00F101D6">
        <w:rPr>
          <w:rFonts w:ascii="Arial" w:eastAsia="Times New Roman" w:hAnsi="Arial" w:cs="Arial"/>
          <w:sz w:val="20"/>
          <w:szCs w:val="20"/>
          <w:lang w:val="es-CO" w:eastAsia="es-BO"/>
        </w:rPr>
        <w:t xml:space="preserve">que declaró la EXEQUIBILIDAD de la Ley 54 de 1990, tal como fue modificada por la Ley 979 de 2005, en el entendido que el régimen de protección en ella contenido se aplica también a las parejas homosexuales. </w:t>
      </w:r>
    </w:p>
    <w:p w:rsidR="00F101D6" w:rsidRPr="00F101D6" w:rsidRDefault="00F101D6" w:rsidP="00F101D6">
      <w:pPr>
        <w:spacing w:before="100" w:beforeAutospacing="1" w:after="100" w:afterAutospacing="1" w:line="240" w:lineRule="auto"/>
        <w:ind w:right="56"/>
        <w:jc w:val="both"/>
        <w:rPr>
          <w:rFonts w:ascii="Arial" w:eastAsia="Times New Roman" w:hAnsi="Arial" w:cs="Arial"/>
          <w:sz w:val="20"/>
          <w:szCs w:val="20"/>
          <w:lang w:eastAsia="es-BO"/>
        </w:rPr>
      </w:pPr>
      <w:r w:rsidRPr="00F101D6">
        <w:rPr>
          <w:rFonts w:ascii="Arial" w:eastAsia="Times New Roman" w:hAnsi="Arial" w:cs="Arial"/>
          <w:b/>
          <w:bCs/>
          <w:sz w:val="20"/>
          <w:szCs w:val="20"/>
          <w:lang w:val="es-CO" w:eastAsia="es-BO"/>
        </w:rPr>
        <w:t>Tercero</w:t>
      </w:r>
      <w:r w:rsidRPr="00F101D6">
        <w:rPr>
          <w:rFonts w:ascii="Arial" w:eastAsia="Times New Roman" w:hAnsi="Arial" w:cs="Arial"/>
          <w:sz w:val="20"/>
          <w:szCs w:val="20"/>
          <w:lang w:val="es-CO" w:eastAsia="es-BO"/>
        </w:rPr>
        <w:t xml:space="preserve">: En cuanto a las expresiones demandadas del artículo 163 de la ley 100 de 1993, </w:t>
      </w:r>
      <w:r w:rsidRPr="00F101D6">
        <w:rPr>
          <w:rFonts w:ascii="Arial" w:eastAsia="Times New Roman" w:hAnsi="Arial" w:cs="Arial"/>
          <w:b/>
          <w:bCs/>
          <w:sz w:val="20"/>
          <w:szCs w:val="20"/>
          <w:lang w:val="es-CO" w:eastAsia="es-BO"/>
        </w:rPr>
        <w:t>estarse a lo resuelto en la sentencia C-811 de 2007,</w:t>
      </w:r>
      <w:r w:rsidRPr="00F101D6">
        <w:rPr>
          <w:rFonts w:ascii="Arial" w:eastAsia="Times New Roman" w:hAnsi="Arial" w:cs="Arial"/>
          <w:sz w:val="20"/>
          <w:szCs w:val="20"/>
          <w:lang w:val="es-CO" w:eastAsia="es-BO"/>
        </w:rPr>
        <w:t xml:space="preserve"> que declaró </w:t>
      </w:r>
      <w:r w:rsidRPr="00F101D6">
        <w:rPr>
          <w:rFonts w:ascii="Arial" w:eastAsia="Times New Roman" w:hAnsi="Arial" w:cs="Arial"/>
          <w:b/>
          <w:bCs/>
          <w:sz w:val="20"/>
          <w:szCs w:val="20"/>
          <w:lang w:val="es-CO" w:eastAsia="es-BO"/>
        </w:rPr>
        <w:t>EXEQUIBLE</w:t>
      </w:r>
      <w:r w:rsidRPr="00F101D6">
        <w:rPr>
          <w:rFonts w:ascii="Arial" w:eastAsia="Times New Roman" w:hAnsi="Arial" w:cs="Arial"/>
          <w:sz w:val="20"/>
          <w:szCs w:val="20"/>
          <w:lang w:val="es-CO" w:eastAsia="es-BO"/>
        </w:rPr>
        <w:t xml:space="preserve"> el artículo 163 de la Ley 100 de 1993, en el entendido que el régimen de protección en ella contenido se aplica también a las parejas del mismo sexo.</w:t>
      </w:r>
    </w:p>
    <w:p w:rsidR="00683406" w:rsidRPr="00F101D6" w:rsidRDefault="00683406">
      <w:pPr>
        <w:rPr>
          <w:rFonts w:ascii="Arial" w:hAnsi="Arial" w:cs="Arial"/>
          <w:sz w:val="20"/>
          <w:szCs w:val="20"/>
        </w:rPr>
      </w:pPr>
    </w:p>
    <w:sectPr w:rsidR="00683406" w:rsidRPr="00F101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A58" w:rsidRDefault="00321A58" w:rsidP="00B50EE5">
      <w:pPr>
        <w:spacing w:after="0" w:line="240" w:lineRule="auto"/>
      </w:pPr>
      <w:r>
        <w:separator/>
      </w:r>
    </w:p>
  </w:endnote>
  <w:endnote w:type="continuationSeparator" w:id="0">
    <w:p w:rsidR="00321A58" w:rsidRDefault="00321A58" w:rsidP="00B5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A58" w:rsidRDefault="00321A58" w:rsidP="00B50EE5">
      <w:pPr>
        <w:spacing w:after="0" w:line="240" w:lineRule="auto"/>
      </w:pPr>
      <w:r>
        <w:separator/>
      </w:r>
    </w:p>
  </w:footnote>
  <w:footnote w:type="continuationSeparator" w:id="0">
    <w:p w:rsidR="00321A58" w:rsidRDefault="00321A58" w:rsidP="00B50EE5">
      <w:pPr>
        <w:spacing w:after="0" w:line="240" w:lineRule="auto"/>
      </w:pPr>
      <w:r>
        <w:continuationSeparator/>
      </w:r>
    </w:p>
  </w:footnote>
  <w:footnote w:id="1">
    <w:p w:rsidR="00B50EE5" w:rsidRPr="006338BD" w:rsidRDefault="00B50EE5" w:rsidP="00B50EE5">
      <w:pPr>
        <w:pStyle w:val="Textonotapie"/>
        <w:rPr>
          <w:lang w:val="es-ES"/>
        </w:rPr>
      </w:pPr>
      <w:r>
        <w:rPr>
          <w:rStyle w:val="Refdenotaalpie"/>
        </w:rPr>
        <w:footnoteRef/>
      </w:r>
      <w:r w:rsidR="00DE53A3">
        <w:t xml:space="preserve">Leer la sentencia completa en: </w:t>
      </w:r>
      <w:r w:rsidR="00DE53A3" w:rsidRPr="00DE53A3">
        <w:t>http://www.corteconstitucional.gov.co/relatoria/2008/c-336-08.htm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E5"/>
    <w:rsid w:val="00321A58"/>
    <w:rsid w:val="003A0B75"/>
    <w:rsid w:val="00683406"/>
    <w:rsid w:val="00B50EE5"/>
    <w:rsid w:val="00DE53A3"/>
    <w:rsid w:val="00F101D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3816A-76D9-44F9-ABBA-954E18A1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0EE5"/>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B50EE5"/>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B50EE5"/>
    <w:rPr>
      <w:sz w:val="20"/>
      <w:szCs w:val="20"/>
    </w:rPr>
  </w:style>
  <w:style w:type="character" w:styleId="Refdenotaalpie">
    <w:name w:val="footnote reference"/>
    <w:basedOn w:val="Fuentedeprrafopredeter"/>
    <w:uiPriority w:val="99"/>
    <w:unhideWhenUsed/>
    <w:rsid w:val="00B50EE5"/>
    <w:rPr>
      <w:vertAlign w:val="superscript"/>
    </w:rPr>
  </w:style>
  <w:style w:type="paragraph" w:styleId="Textodeglobo">
    <w:name w:val="Balloon Text"/>
    <w:basedOn w:val="Normal"/>
    <w:link w:val="TextodegloboCar"/>
    <w:uiPriority w:val="99"/>
    <w:semiHidden/>
    <w:unhideWhenUsed/>
    <w:rsid w:val="00B50E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0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79416">
      <w:bodyDiv w:val="1"/>
      <w:marLeft w:val="0"/>
      <w:marRight w:val="0"/>
      <w:marTop w:val="0"/>
      <w:marBottom w:val="0"/>
      <w:divBdr>
        <w:top w:val="none" w:sz="0" w:space="0" w:color="auto"/>
        <w:left w:val="none" w:sz="0" w:space="0" w:color="auto"/>
        <w:bottom w:val="none" w:sz="0" w:space="0" w:color="auto"/>
        <w:right w:val="none" w:sz="0" w:space="0" w:color="auto"/>
      </w:divBdr>
    </w:div>
    <w:div w:id="115383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secretaria</cp:lastModifiedBy>
  <cp:revision>2</cp:revision>
  <dcterms:created xsi:type="dcterms:W3CDTF">2017-05-23T14:20:00Z</dcterms:created>
  <dcterms:modified xsi:type="dcterms:W3CDTF">2017-05-23T14:20:00Z</dcterms:modified>
</cp:coreProperties>
</file>