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00" w:rsidRPr="00016B7D" w:rsidRDefault="00AA3500" w:rsidP="00AA35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29D33234" wp14:editId="2639CB36">
            <wp:extent cx="411480" cy="257175"/>
            <wp:effectExtent l="0" t="0" r="7620" b="9525"/>
            <wp:docPr id="1" name="Imagen 1" descr="Bandera de Argentina[1]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Argentina[1]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500" w:rsidRPr="00016B7D" w:rsidRDefault="00AA3500" w:rsidP="00AA3500">
      <w:pPr>
        <w:spacing w:after="0" w:line="240" w:lineRule="auto"/>
        <w:jc w:val="both"/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  <w:r w:rsidRPr="00016B7D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3.2.2</w:t>
      </w:r>
      <w:bookmarkStart w:id="0" w:name="_GoBack"/>
      <w:r w:rsidRPr="00016B7D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. LEY Nº 5261 LEY CONTRA LA DISCRIMINACIÓN BUENOS AIRES (ARGENTINA)</w:t>
      </w:r>
      <w:bookmarkEnd w:id="0"/>
      <w:r w:rsidRPr="00016B7D">
        <w:rPr>
          <w:rStyle w:val="Refdenotaalpie"/>
          <w:rFonts w:ascii="Arial" w:hAnsi="Arial" w:cs="Arial"/>
          <w:b/>
          <w:color w:val="4D4D4D"/>
          <w:sz w:val="20"/>
          <w:szCs w:val="20"/>
          <w:shd w:val="clear" w:color="auto" w:fill="FFFFFF"/>
        </w:rPr>
        <w:footnoteReference w:id="1"/>
      </w:r>
    </w:p>
    <w:p w:rsidR="00AA3500" w:rsidRPr="00016B7D" w:rsidRDefault="00AA3500" w:rsidP="00AA35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3500" w:rsidRPr="00016B7D" w:rsidRDefault="00AA3500" w:rsidP="00AA35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Artículo 1º.- Objeto. Orden Público. La presente Ley tiene por objeto:</w:t>
      </w:r>
    </w:p>
    <w:p w:rsidR="00AA3500" w:rsidRPr="00016B7D" w:rsidRDefault="00AA3500" w:rsidP="00AA35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a) garantizar y promover la plena vigencia del principio de igualdad y no discriminación, con vistas a asegurar el efectivo ejercicio de los derechos de todas las personas y grupos de personas.</w:t>
      </w:r>
    </w:p>
    <w:p w:rsidR="00AA3500" w:rsidRPr="00016B7D" w:rsidRDefault="00AA3500" w:rsidP="00AA35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b) prevenir la discriminación en todas sus formas, a través de la implementación y el desarrollo de políticas públicas inclusivas y acciones afirmativas que promuevan la igualdad de oportunidades y fomenten el respeto a la diversidad y a la dignidad inherente de cada ser humano.</w:t>
      </w:r>
    </w:p>
    <w:p w:rsidR="00AA3500" w:rsidRPr="00016B7D" w:rsidRDefault="00AA3500" w:rsidP="00AA35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c) sancionar y reparar los actos discriminatorios, garantizando el acceso a la justicia y generando condiciones aptas para erradicar la discriminación, la xenofobia y el racismo.</w:t>
      </w:r>
    </w:p>
    <w:p w:rsidR="00AA3500" w:rsidRPr="00016B7D" w:rsidRDefault="00AA3500" w:rsidP="00AA35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Las disposiciones de la presente Ley son de orden público.</w:t>
      </w:r>
    </w:p>
    <w:p w:rsidR="00AA3500" w:rsidRPr="00016B7D" w:rsidRDefault="00AA3500" w:rsidP="00AA35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Art. 2º.- Tipología. A los efectos de esta Ley, el término “discriminación” incluye, en particular: </w:t>
      </w:r>
    </w:p>
    <w:p w:rsidR="00AA3500" w:rsidRPr="00016B7D" w:rsidRDefault="00AA3500" w:rsidP="00AA35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a) Discriminación de jure: toda distinción normativa que excluya, restrinja o menoscabe el goce o el ejercicio igualitario de los derechos. La discriminación de jure puede manifestarse directa o indirectamente:</w:t>
      </w:r>
    </w:p>
    <w:p w:rsidR="00AA3500" w:rsidRPr="00016B7D" w:rsidRDefault="00AA3500" w:rsidP="00AA35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i) Directa: cuando el pretexto discriminatorio es invocado explícitamente como motivo de distinción, exclusión, restricción o menoscabo.</w:t>
      </w:r>
    </w:p>
    <w:p w:rsidR="00AA3500" w:rsidRPr="00016B7D" w:rsidRDefault="00AA3500" w:rsidP="00AA35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ii) Indirecta: cuando el factor de distinción invocado es aparentemente neutro, pero el efecto es el de excluir, restringir o menoscabar de manera irrazonable a un grupo o colectivo, sin que exista una justificación objetiva en relación con la cuestión decidida.</w:t>
      </w:r>
    </w:p>
    <w:p w:rsidR="00AA3500" w:rsidRPr="00016B7D" w:rsidRDefault="00AA3500" w:rsidP="00AA35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b) Discriminación de facto: toda exclusión, restricción o menoscabo de hecho en el goce o en el ejercicio igualitario de los derechos sin que el criterio de distinción sea mencionado explícitamente.</w:t>
      </w:r>
    </w:p>
    <w:p w:rsidR="00AA3500" w:rsidRPr="00016B7D" w:rsidRDefault="00AA3500" w:rsidP="00AA35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Art. 3º.- Definición. Se consideran discriminatorios:</w:t>
      </w:r>
    </w:p>
    <w:p w:rsidR="00AA3500" w:rsidRPr="00016B7D" w:rsidRDefault="00AA3500" w:rsidP="00AA35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a) Los hechos, actos u omisiones que tengan por objeto o por resultado impedir obstruir, restringir o de cualquier modo menoscabar, arbitrariamente, de forma temporal o permanente, el ejercicio igualitario de los derechos y garantías reconocidos en la Constitución Nacional, la Constitución de la Ciudad Autónoma de Buenos Aires, las leyes nacionales y de la Ciudad dictadas en su consecuencia, en los tratados internacionales de Derechos Humanos vigentes y en las normas concordantes, a personas o grupos de personas, bajo pretexto de: etnia, nacionalidad, color de piel, nacimiento, origen nacional, lengua, idioma o variedad lingüística, convicciones religiosas o filosóficas, ideología, opinión política o gremial, sexo, género, identidad de género y/o su expresión, orientación sexual, edad, estado civil, situación familiar, trabajo u ocupación, aspecto físico, discapacidad, condición de salud, características genéticas, situación socioeconómica, condición social, origen social, hábitos sociales o culturales, lugar de residencia, y/o de cualquier otra condición o circunstancia personal, familiar o social, temporal o permanente.</w:t>
      </w:r>
    </w:p>
    <w:p w:rsidR="00AA3500" w:rsidRPr="00016B7D" w:rsidRDefault="00AA3500" w:rsidP="00AA35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b) Toda acción u omisión que, a través de patrones estereotipados, insultos, ridiculizaciones, humillaciones, descalificaciones, y/o mensajes que transmitan y/o reproduzcan dominación, desigualdad y/o discriminación en las relaciones sociales, naturalice o propicie la exclusión o segregación.</w:t>
      </w:r>
    </w:p>
    <w:p w:rsidR="00AA3500" w:rsidRPr="00016B7D" w:rsidRDefault="00AA3500" w:rsidP="00AA35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c) Las conductas que tiendan a causar daño emocional o disminución de la autoestima, perjudicar y/o perturbar el pleno desarrollo personal y/o </w:t>
      </w:r>
      <w:proofErr w:type="spellStart"/>
      <w:r w:rsidRPr="00016B7D">
        <w:rPr>
          <w:rFonts w:ascii="Arial" w:hAnsi="Arial" w:cs="Arial"/>
          <w:sz w:val="20"/>
          <w:szCs w:val="20"/>
        </w:rPr>
        <w:t>identitario</w:t>
      </w:r>
      <w:proofErr w:type="spellEnd"/>
      <w:r w:rsidRPr="00016B7D">
        <w:rPr>
          <w:rFonts w:ascii="Arial" w:hAnsi="Arial" w:cs="Arial"/>
          <w:sz w:val="20"/>
          <w:szCs w:val="20"/>
        </w:rPr>
        <w:t>, degradar, estigmatizar o cualquier otra conducta que cause perjuicio a su salud psicológica y a la autodeterminación de las personas bajo cualquier pretexto discriminatorio.</w:t>
      </w:r>
    </w:p>
    <w:p w:rsidR="00AA3500" w:rsidRPr="00016B7D" w:rsidRDefault="00AA3500" w:rsidP="00AA35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En todos los casos debe entenderse que la discriminación en función de los pretextos mencionados en el inciso a) es el resultado de relaciones asimétricas y tratos inequitativos relacionados a determinados factores y contextos históricos, geográficos y sociales. En cualquier caso, no incide en la evaluación del carácter discriminatorio de una conducta que el pretexto que la haya determinado coincida o no con características de la persona afectada.</w:t>
      </w:r>
    </w:p>
    <w:p w:rsidR="00AA3500" w:rsidRPr="00016B7D" w:rsidRDefault="00AA3500" w:rsidP="00AA35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lastRenderedPageBreak/>
        <w:t>Ninguna persona podrá valerse de razones de obediencia u órdenes recibidas, para la realización y/o justificación de conductas manifiestamente ilegítimas y reprochadas por esta ley como discriminatorias.</w:t>
      </w:r>
    </w:p>
    <w:p w:rsidR="00AA3500" w:rsidRDefault="00AA3500" w:rsidP="00AA35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Tales conductas serán pasibles de ser reprochadas tanto a título personal de la persona que las realiza, como de quien haya impartido las órdenes o directivas para su realización.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C7" w:rsidRDefault="000431C7" w:rsidP="00AA3500">
      <w:pPr>
        <w:spacing w:after="0" w:line="240" w:lineRule="auto"/>
      </w:pPr>
      <w:r>
        <w:separator/>
      </w:r>
    </w:p>
  </w:endnote>
  <w:endnote w:type="continuationSeparator" w:id="0">
    <w:p w:rsidR="000431C7" w:rsidRDefault="000431C7" w:rsidP="00AA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C7" w:rsidRDefault="000431C7" w:rsidP="00AA3500">
      <w:pPr>
        <w:spacing w:after="0" w:line="240" w:lineRule="auto"/>
      </w:pPr>
      <w:r>
        <w:separator/>
      </w:r>
    </w:p>
  </w:footnote>
  <w:footnote w:type="continuationSeparator" w:id="0">
    <w:p w:rsidR="000431C7" w:rsidRDefault="000431C7" w:rsidP="00AA3500">
      <w:pPr>
        <w:spacing w:after="0" w:line="240" w:lineRule="auto"/>
      </w:pPr>
      <w:r>
        <w:continuationSeparator/>
      </w:r>
    </w:p>
  </w:footnote>
  <w:footnote w:id="1">
    <w:p w:rsidR="00AA3500" w:rsidRPr="00016B7D" w:rsidRDefault="00AA3500" w:rsidP="00AA3500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ARG/DIGU/LADL/02 Para ver la norma in extenso, también puede utilizar el siguiente link 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http://www.legis.com.ar/BancoConocimiento/N/noticias_06102015_ley_caba_5261/noticias_06102015_ley_caba_5261.asp?Miga=1&amp;CodSeccion=25</w:t>
        </w:r>
      </w:hyperlink>
    </w:p>
    <w:p w:rsidR="00AA3500" w:rsidRPr="00016B7D" w:rsidRDefault="00AA3500" w:rsidP="00AA3500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00"/>
    <w:rsid w:val="000431C7"/>
    <w:rsid w:val="00683406"/>
    <w:rsid w:val="00AA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A3500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AA350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A350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A350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A3500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AA350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A350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A350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.com.ar/BancoConocimiento/N/noticias_06102015_ley_caba_5261/noticias_06102015_ley_caba_5261.asp?Miga=1&amp;CodSeccion=2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2016-11-01T10:27:00Z</dcterms:created>
  <dcterms:modified xsi:type="dcterms:W3CDTF">2016-11-01T10:28:00Z</dcterms:modified>
</cp:coreProperties>
</file>