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2E" w:rsidRPr="00164A1F" w:rsidRDefault="00E92B2E" w:rsidP="00E92B2E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46851EB8" wp14:editId="7BF840D9">
            <wp:extent cx="380093" cy="266065"/>
            <wp:effectExtent l="0" t="0" r="1270" b="635"/>
            <wp:docPr id="251" name="Imagen 251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B2E" w:rsidRPr="00164A1F" w:rsidRDefault="00E92B2E" w:rsidP="00E92B2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15.18. </w:t>
      </w:r>
      <w:bookmarkStart w:id="0" w:name="_GoBack"/>
      <w:r w:rsidRPr="00164A1F">
        <w:rPr>
          <w:rFonts w:ascii="Arial" w:hAnsi="Arial" w:cs="Arial"/>
          <w:b/>
          <w:sz w:val="20"/>
          <w:szCs w:val="20"/>
          <w:lang w:val="pt-BR"/>
        </w:rPr>
        <w:t>DECRETO Nº 46.037, DE 4 DE JULHO DE 2005 SÃO PAULO (BRASIL)</w:t>
      </w:r>
      <w:r w:rsidRPr="00164A1F">
        <w:rPr>
          <w:rFonts w:ascii="Arial" w:hAnsi="Arial" w:cs="Arial"/>
          <w:b/>
          <w:sz w:val="20"/>
          <w:szCs w:val="20"/>
          <w:vertAlign w:val="superscript"/>
          <w:lang w:val="pt-BR"/>
        </w:rPr>
        <w:footnoteReference w:id="1"/>
      </w: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 </w:t>
      </w:r>
      <w:bookmarkEnd w:id="0"/>
    </w:p>
    <w:p w:rsidR="00E92B2E" w:rsidRPr="00164A1F" w:rsidRDefault="00E92B2E" w:rsidP="00E92B2E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Artigo 1º - para execução da Lei nº 10.948/2001 deverão ser observados os procedimentos previstos na Lei nº 10.177/98, que regula o processo administrativo no âmbito da Administração Pública Estadual e na Lei nº 10.261/68, Estatuto dos Servidores Públicos do Estado de São Paulo.</w:t>
      </w:r>
    </w:p>
    <w:p w:rsidR="00E92B2E" w:rsidRPr="00164A1F" w:rsidRDefault="00E92B2E" w:rsidP="00E92B2E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Artigo 2º - Fica criada Comissão Processante Especial para apuração de atos discriminatórios a que se refere a Lei nº 10.948/2001, composta por 5 (cinco) membros nomeadas pelo Secretário da Justiça e da Defesa da Cidadania.</w:t>
      </w:r>
    </w:p>
    <w:p w:rsidR="00E92B2E" w:rsidRPr="00164A1F" w:rsidRDefault="00E92B2E" w:rsidP="00E92B2E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Artigo 3º - Concluindo a Comissão Processante Especial, que se trata de crime, remeterá cópia do processo administrativo ao Ministério Público e às demais autoridades competentes para as medidas cabíveis.</w:t>
      </w:r>
    </w:p>
    <w:p w:rsidR="00E92B2E" w:rsidRPr="00164A1F" w:rsidRDefault="00E92B2E" w:rsidP="00E92B2E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Artigo 4º - Os trabalhos da Comissão Processante Especial serão prestados a título gratuito, sendo, porém, considerados serviço público relevante para todos os fins.</w:t>
      </w:r>
    </w:p>
    <w:p w:rsidR="00E92B2E" w:rsidRPr="00164A1F" w:rsidRDefault="00E92B2E" w:rsidP="00E92B2E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C0D" w:rsidRDefault="00DD0C0D" w:rsidP="00E92B2E">
      <w:pPr>
        <w:spacing w:after="0" w:line="240" w:lineRule="auto"/>
      </w:pPr>
      <w:r>
        <w:separator/>
      </w:r>
    </w:p>
  </w:endnote>
  <w:endnote w:type="continuationSeparator" w:id="0">
    <w:p w:rsidR="00DD0C0D" w:rsidRDefault="00DD0C0D" w:rsidP="00E9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C0D" w:rsidRDefault="00DD0C0D" w:rsidP="00E92B2E">
      <w:pPr>
        <w:spacing w:after="0" w:line="240" w:lineRule="auto"/>
      </w:pPr>
      <w:r>
        <w:separator/>
      </w:r>
    </w:p>
  </w:footnote>
  <w:footnote w:type="continuationSeparator" w:id="0">
    <w:p w:rsidR="00DD0C0D" w:rsidRDefault="00DD0C0D" w:rsidP="00E92B2E">
      <w:pPr>
        <w:spacing w:after="0" w:line="240" w:lineRule="auto"/>
      </w:pPr>
      <w:r>
        <w:continuationSeparator/>
      </w:r>
    </w:p>
  </w:footnote>
  <w:footnote w:id="1">
    <w:p w:rsidR="00E92B2E" w:rsidRPr="00916D3C" w:rsidRDefault="00E92B2E" w:rsidP="00E92B2E">
      <w:pPr>
        <w:pStyle w:val="Textonotapie"/>
      </w:pPr>
      <w:r>
        <w:rPr>
          <w:rStyle w:val="Refdenotaalpie"/>
        </w:rPr>
        <w:footnoteRef/>
      </w:r>
      <w:r w:rsidRPr="00916D3C">
        <w:t xml:space="preserve"> </w:t>
      </w:r>
      <w:r>
        <w:t xml:space="preserve">Anexo BRA/PRO/18 Para ver la </w:t>
      </w:r>
      <w:r w:rsidRPr="00711B4F">
        <w:t xml:space="preserve">norma in extenso, </w:t>
      </w:r>
      <w:r>
        <w:t xml:space="preserve">también puede utilizar el siguiente link  </w:t>
      </w:r>
    </w:p>
    <w:p w:rsidR="00E92B2E" w:rsidRPr="00916D3C" w:rsidRDefault="00E92B2E" w:rsidP="00E92B2E">
      <w:pPr>
        <w:pStyle w:val="Textonotapie"/>
      </w:pPr>
      <w:hyperlink r:id="rId1" w:history="1">
        <w:r w:rsidRPr="00916D3C">
          <w:rPr>
            <w:rStyle w:val="Hipervnculo"/>
          </w:rPr>
          <w:t>https://portais.ufg.br/up/16/o/pplgbt-121.pdf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2E"/>
    <w:rsid w:val="00454480"/>
    <w:rsid w:val="00DD0C0D"/>
    <w:rsid w:val="00E9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405B915-2DA8-476D-ADC7-D02EF15B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B2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92B2E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E92B2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92B2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92B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is.ufg.br/up/16/o/pplgbt-121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2016-11-02T00:44:00Z</dcterms:created>
  <dcterms:modified xsi:type="dcterms:W3CDTF">2016-11-02T00:44:00Z</dcterms:modified>
</cp:coreProperties>
</file>