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1F" w:rsidRPr="008637BB" w:rsidRDefault="00BA0F1F" w:rsidP="00BA0F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A0F1F">
        <w:rPr>
          <w:rFonts w:ascii="Arial" w:hAnsi="Arial" w:cs="Arial"/>
          <w:b/>
          <w:sz w:val="20"/>
          <w:szCs w:val="20"/>
        </w:rPr>
        <w:t>COMITÉ PARA LA ELIMINACIÓN DE LA DISCRIMINACIÓN CONTRA LA MUJER (Observaciones finales sobre los informes periódicos séptimo y octavo combinados de Colombia)</w:t>
      </w:r>
      <w:r w:rsidRPr="00BA0F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BA0F1F" w:rsidRPr="004C6C9D" w:rsidRDefault="00BA0F1F" w:rsidP="00BA0F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0F1F" w:rsidRPr="008637BB" w:rsidRDefault="00BA0F1F" w:rsidP="00BA0F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637BB">
        <w:rPr>
          <w:rFonts w:ascii="Arial" w:hAnsi="Arial" w:cs="Arial"/>
          <w:sz w:val="20"/>
          <w:szCs w:val="20"/>
          <w:lang w:val="es-ES"/>
        </w:rPr>
        <w:t>b)</w:t>
      </w:r>
      <w:r w:rsidRPr="008637BB">
        <w:rPr>
          <w:rFonts w:ascii="Arial" w:hAnsi="Arial" w:cs="Arial"/>
          <w:sz w:val="20"/>
          <w:szCs w:val="20"/>
          <w:lang w:val="es-ES"/>
        </w:rPr>
        <w:tab/>
      </w:r>
      <w:r w:rsidRPr="00F85A96">
        <w:rPr>
          <w:rFonts w:ascii="Arial" w:hAnsi="Arial" w:cs="Arial"/>
          <w:sz w:val="20"/>
          <w:szCs w:val="20"/>
          <w:lang w:val="es-ES"/>
        </w:rPr>
        <w:t>Los obstáculos con que tropiezan las mujeres para acceder a la justicia, como la discriminación sexual y de género por parte de los agentes de policía y los fiscales, la ausencia de una formación y sensibilización adecuadas de los funcionarios judiciales, la falta de asistencia jurídica gratuita y los limitados servicios psicosociales y de atención de salud de que disponen las víctimas de la violencia sexual, por ejemplo para</w:t>
      </w:r>
      <w:r w:rsidRPr="008637BB">
        <w:rPr>
          <w:rFonts w:ascii="Arial" w:hAnsi="Arial" w:cs="Arial"/>
          <w:sz w:val="20"/>
          <w:szCs w:val="20"/>
          <w:lang w:val="es-ES"/>
        </w:rPr>
        <w:t xml:space="preserve"> el acceso inmediato a pruebas forenses; </w:t>
      </w:r>
    </w:p>
    <w:p w:rsidR="00BA0F1F" w:rsidRPr="008637BB" w:rsidRDefault="00BA0F1F" w:rsidP="00BA0F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637BB">
        <w:rPr>
          <w:rFonts w:ascii="Arial" w:hAnsi="Arial" w:cs="Arial"/>
          <w:sz w:val="20"/>
          <w:szCs w:val="20"/>
          <w:lang w:val="es-ES"/>
        </w:rPr>
        <w:t>c)</w:t>
      </w:r>
      <w:r w:rsidRPr="008637BB">
        <w:rPr>
          <w:rFonts w:ascii="Arial" w:hAnsi="Arial" w:cs="Arial"/>
          <w:sz w:val="20"/>
          <w:szCs w:val="20"/>
          <w:lang w:val="es-ES"/>
        </w:rPr>
        <w:tab/>
        <w:t>La no aplicabilidad de la Ley núm. 1448 (2011) a las víctimas de los grupos armados surgidos después de la desmovilización, a los que se atribuyen violaciones de los derechos humanos, con inclusión de actos de violencia sexual y de género, debido a que el Estado parte no reconoce a estos grupos como partes en el conflicto;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0B" w:rsidRDefault="00AF7E0B" w:rsidP="00BA0F1F">
      <w:pPr>
        <w:spacing w:after="0" w:line="240" w:lineRule="auto"/>
      </w:pPr>
      <w:r>
        <w:separator/>
      </w:r>
    </w:p>
  </w:endnote>
  <w:endnote w:type="continuationSeparator" w:id="0">
    <w:p w:rsidR="00AF7E0B" w:rsidRDefault="00AF7E0B" w:rsidP="00B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0B" w:rsidRDefault="00AF7E0B" w:rsidP="00BA0F1F">
      <w:pPr>
        <w:spacing w:after="0" w:line="240" w:lineRule="auto"/>
      </w:pPr>
      <w:r>
        <w:separator/>
      </w:r>
    </w:p>
  </w:footnote>
  <w:footnote w:type="continuationSeparator" w:id="0">
    <w:p w:rsidR="00AF7E0B" w:rsidRDefault="00AF7E0B" w:rsidP="00BA0F1F">
      <w:pPr>
        <w:spacing w:after="0" w:line="240" w:lineRule="auto"/>
      </w:pPr>
      <w:r>
        <w:continuationSeparator/>
      </w:r>
    </w:p>
  </w:footnote>
  <w:footnote w:id="1">
    <w:p w:rsidR="00BA0F1F" w:rsidRDefault="00BA0F1F" w:rsidP="00BA0F1F">
      <w:pPr>
        <w:pStyle w:val="Textonotapie"/>
      </w:pPr>
      <w:r>
        <w:rPr>
          <w:rStyle w:val="Refdenotaalpie"/>
        </w:rPr>
        <w:footnoteRef/>
      </w:r>
      <w:r>
        <w:t xml:space="preserve"> Anexo RE/NNUU/COL/02</w:t>
      </w:r>
      <w:r w:rsidRPr="00012D3D">
        <w:t xml:space="preserve">  </w:t>
      </w:r>
      <w:r>
        <w:t xml:space="preserve">Para ver la </w:t>
      </w:r>
      <w:r w:rsidRPr="00711B4F">
        <w:t xml:space="preserve">norma in extenso, </w:t>
      </w:r>
      <w:r>
        <w:t xml:space="preserve">también puede utilizar el siguiente link </w:t>
      </w:r>
      <w:hyperlink r:id="rId1" w:history="1">
        <w:r w:rsidRPr="006E5C69">
          <w:rPr>
            <w:rStyle w:val="Hipervnculo"/>
          </w:rPr>
          <w:t>http://tbinternet.ohchr.org/_layouts/treatybodyexternal/Download.aspx?symbolno=CEDAW/C/COL/CO/7-8&amp;Lang=Sp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1F"/>
    <w:rsid w:val="00683406"/>
    <w:rsid w:val="00AF7E0B"/>
    <w:rsid w:val="00B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0F1F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A0F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A0F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A0F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0F1F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BA0F1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BA0F1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A0F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binternet.ohchr.org/_layouts/treatybodyexternal/Download.aspx?symbolno=CEDAW/C/COL/CO/7-8&amp;Lang=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2016-10-28T13:17:00Z</dcterms:created>
  <dcterms:modified xsi:type="dcterms:W3CDTF">2016-10-28T13:18:00Z</dcterms:modified>
</cp:coreProperties>
</file>